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甘黄首保字〔2024〕32号                签发人：斗格加</w:t>
      </w:r>
      <w:r>
        <w:rPr>
          <w:rFonts w:hint="eastAsia" w:ascii="仿宋_GB2312" w:hAnsi="华文仿宋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</w:p>
    <w:p>
      <w:pPr>
        <w:tabs>
          <w:tab w:val="left" w:pos="538"/>
        </w:tabs>
        <w:jc w:val="left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" w:eastAsia="zh-CN"/>
        </w:rPr>
      </w:pP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甘肃黄河首曲国家级自然保护区管护中心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年度省级预算执行情况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绩效自评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" w:eastAsia="zh-CN"/>
        </w:rPr>
        <w:t>报告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22"/>
          <w:szCs w:val="22"/>
          <w:lang w:val="en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省林业和草原局：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省财政厅通知，按照省委、省政府《关于全面实施预算绩效管理的实施意见》（甘发〔2018〕32号）、财政部《关于印发&lt;项目支出绩效评价管理办法》的通知》（财预〔2020〕10号）和省财政厅《关于印发&lt;甘肃省省级预算绩效管理办法&gt;等6个办法和规程的通知》（甘财绩〔2020〕5号）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现将我中心2024年度省级财政资金执行情况汇报如下：</w:t>
      </w:r>
    </w:p>
    <w:p>
      <w:pPr>
        <w:tabs>
          <w:tab w:val="left" w:pos="5838"/>
        </w:tabs>
        <w:rPr>
          <w:rFonts w:hint="eastAsia" w:ascii="仿宋_GB2312" w:hAnsi="仿宋_GB2312" w:eastAsia="黑体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一、基本情况</w:t>
      </w:r>
      <w:r>
        <w:rPr>
          <w:rFonts w:hint="eastAsia" w:ascii="黑体" w:hAnsi="黑体" w:eastAsia="黑体" w:cs="黑体"/>
          <w:color w:val="auto"/>
          <w:sz w:val="32"/>
          <w:szCs w:val="32"/>
          <w:lang w:val="en" w:eastAsia="zh-CN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  （一）部门主要职能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保护区域内生物多样性和珍惜自然遗迹，维护生态平衡。贯彻执行国际有关自然保护区的法律、法规和方针、政策；制定自然保护区的各项规章制度，统一管理自然保护区；调查自然资源并建立档案，组织勘界立标、环境监测，保护自然保护区的自然环境和自然资源；组织或者协助有关部门开展自然保护区的科学研究工作；进行自然保护的宣传教育。</w:t>
      </w:r>
    </w:p>
    <w:p>
      <w:pPr>
        <w:numPr>
          <w:ilvl w:val="0"/>
          <w:numId w:val="1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内设机构及所属单位概况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我中心下设共五个科室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四个保护站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分别是：办公室、组织人事科、计划财务科、湿地管理科、科研监测科；河曲马场保护站、曼日玛保护站、采日玛保护站、卫当保护站。我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中心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为省林业和草原局所属事业单位，处级建制，核定处级领导职数2名（一正一副）；核定事业编制46名。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二、绩效自评工作组织开展情况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自收到绩效自评工作文件后，管护中心高度重视，精心部署，根据《甘肃省财政厅关于开展202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年度省级预算执行情况绩效自评工作的通知》文件要求，认真梳理项目进展情况，结合项目归口科室以及计财科202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年决算内容，组织相关技术人员针对202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年度省级预算执行情况进行了此次绩效评价。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三、部门整体支出绩效自评情况分析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  （一）部门决算情况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基本支出完成度较高，但项目支出进度较慢，结转结余资金较多。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  （二）总体绩效目标完成情况分析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总体绩效目标完成良好，项目有关绩效完成度较低。</w:t>
      </w:r>
    </w:p>
    <w:p>
      <w:pPr>
        <w:numPr>
          <w:ilvl w:val="0"/>
          <w:numId w:val="1"/>
        </w:numPr>
        <w:ind w:left="48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各项指标完成情况分析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部门管理、能力建设和满意度方面完成度较好，履职效果指标完成度差。</w:t>
      </w:r>
    </w:p>
    <w:p>
      <w:pPr>
        <w:numPr>
          <w:ilvl w:val="0"/>
          <w:numId w:val="1"/>
        </w:numPr>
        <w:ind w:left="48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偏离绩效目标的原因及下一步改进措施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由于气候原因，项目施工期短、进程慢，后续将宜施工期加大力度完成项目建设工作。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四、部门预算项目支出绩效自评情况分析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ab/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年，本部门预算支出项目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个，当年财政拨款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3609.06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万元，全年支出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3155.15万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元，执行率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87.42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%。通过自评，有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个项目结果为“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个项目结果为“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良好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”。分项目自评情况分析如下：</w:t>
      </w:r>
    </w:p>
    <w:p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 xml:space="preserve"> 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办公用房租赁项目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1.项目支出预算执行情况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项目共计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23.26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万元，资金到位率100%。截至202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年12月31日共支出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23.26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万元，资金执行率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总体绩效目标完成情况分析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该项目需完成租赁办公用房646平方米，用于黄河首曲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管护中心2023年度办公，并保障全年正常供水供暖供电，目前已完成项目所有建设目标。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各项指标完成情况分析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该项目完成度100%，各个指标完成情况良好，总体评价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为优秀。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国土绿化项目-防沙治沙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 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1.项目支出预算执行情况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项目共计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万元，资金到位率100%。截至202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年12月31日共支出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8.99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万元，资金执行率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29.97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已完成规划编制工作，开展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部分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防沙治沙草方格建设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后续将尽快完成后续工作任务。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各项指标完成情况分析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产出指标完成度较高，效益指标有待进一步提高，满意度指标还需加大力度提升。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偏离绩效目标的原因及下一步改进措施</w:t>
      </w:r>
    </w:p>
    <w:p>
      <w:pPr>
        <w:numPr>
          <w:ilvl w:val="0"/>
          <w:numId w:val="0"/>
        </w:numPr>
        <w:ind w:firstLine="508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由于地方气候恶略，施工期较短，后续将加大施工力度。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2023年省级财政林业草原生态保护恢复资金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项目支出预算执行情况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项目共计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万元，资金到位率100%。截至202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年12月31日共支出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49.54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万元，资金执行率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99.08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总体绩效目标完成情况分析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完成保护区整体本底调查，并形成报告材料，组织完成人员能力提升5次，并进行了湿地生态保护宣传。完成绩效目标值。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各项指标完成情况分析</w:t>
      </w:r>
    </w:p>
    <w:p>
      <w:pPr>
        <w:numPr>
          <w:ilvl w:val="0"/>
          <w:numId w:val="0"/>
        </w:numPr>
        <w:ind w:left="640" w:left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项目已基本完工，完成各项指标要求。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偏离绩效目标的原因及下一步改进措施</w:t>
      </w:r>
    </w:p>
    <w:p>
      <w:pPr>
        <w:numPr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无。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林业草原行业管理费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1.项目支出预算执行情况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项目共计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12.8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万元，资金到位率100%。截至202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年12月31日共支出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12.8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万元，资金执行率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完成全国性草原综合监测样地数量12个，全国性湿地综合监测项目样地数量20个，林区职工和周边群众满意度不低于85%。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各项指标完成情况分析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产出指标完成度较高，效益指标有待进一步提高，满意度指标还需加大力度提升。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林业草原支撑保障体系项目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1.项目支出预算执行情况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项目共计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万元，资金到位率100%。截至202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年12月31日共支出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29.068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万元，资金执行率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96.89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总体绩效目标完成情况分析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完成防火日常巡护，完成防火宣传，完成种质资源调查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各项指标完成情况分析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高效完成成本指标、产出指标，防火宣传巡护次数达到指标值55次，并完成一次种质资源调查。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森林保护修复项目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 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1.项目支出预算执行情况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项目共计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73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万元，资金到位率100%。截至202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年12月31日共支出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43.38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万元，资金执行率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59.42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总体绩效目标完成情况分析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管护人员聘用，森林保护宣传及培训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等指标均已完成。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各项指标完成情况分析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湿地巡护次数达到55次，提供就业岗位4个，工作人员满意度均达标。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野生动植物保护及生物多样性保护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 xml:space="preserve"> 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1.项目支出预算执行情况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项目共计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万元，资金到位率100%。截至202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年12月31日共支出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万元，资金执行率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总体绩效目标完成情况分析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野生动物收容救护饲料购置、疫病防控药品器具等物资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储备、野生动物保护巡护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均已完成。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各项指标完成情况分析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成本指标：资金下拨率完成100%、野生动物疫情发病率控制在0%。产出指标：完成动物饲料购置、并完成野生动物防疫巡护30余次。效益指标资金使用率100%、有效减少疫病发生率。</w:t>
      </w:r>
    </w:p>
    <w:p>
      <w:pPr>
        <w:numPr>
          <w:ilvl w:val="0"/>
          <w:numId w:val="0"/>
        </w:numPr>
        <w:ind w:firstLine="321" w:firstLineChar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自然保护地建设补助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 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1.项目支出预算执行情况</w:t>
      </w:r>
    </w:p>
    <w:p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项目共计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3370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万元，资金到位率100%。截至202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年12月31日共支出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2991.37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万元，资金执行率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88.76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%。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总体绩效目标完成情况分析</w:t>
      </w:r>
    </w:p>
    <w:p>
      <w:pPr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1.退化湿地植被恢复，在河曲马场及曼日玛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计划恢复7万亩，草种购置110元/亩，人工播种费60元/亩，合计1190万元。2.监测监控设施维护和设备购置160万元。3.国际重要湿地宣教中心建设100万元。4.管护人员聘用及劳务补助等支出50万元。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：1.退化湿地植被恢复，在采日玛镇计划恢复8万亩，草种购置110元/亩，人工播种费60元/亩，合计1360万元。2.防火通道维修20KM，每公里8万元，共计160万元。3.鼠害人工防治8万亩，地上鼠及地下鼠每亩30元，共计240万元。4.侵蚀沟治理50KM，每公里1万元，共计50万元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>各项指标完成情况分析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该项目完成度较高，各指标均已完成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绩效自评结果拟应用和公开情况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甘肃黄河首曲国家级自然保护区管护中心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评价采取定量评价和定性评价相结合，以定量评价为主、定性评价为辅的方式开展评价工作。综合来看，除个别项目实施较迟以外，其他项目均圆满完成了建设任务，项目建设管理良好，成效显著。在今后的项目管理中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将进一步提升管理水平，充分发挥项目的经济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、社会效益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效益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，不断提升林草</w:t>
      </w:r>
      <w:r>
        <w:rPr>
          <w:rFonts w:ascii="仿宋_GB2312" w:hAnsi="仿宋_GB2312" w:eastAsia="仿宋_GB2312" w:cs="仿宋_GB2312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在经济社会发展中的价值。其结果将作为下年度生产计划的编制依据和年度预算安排的依据。同时，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要求公开公示评价结果。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/>
        </w:rPr>
        <w:t xml:space="preserve">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"/>
        </w:rPr>
        <w:t>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无。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附件：2023年度部门预算项目支出绩效自评表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甘肃黄河首曲国家级自然保护区管护中心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2024年3月19日</w:t>
      </w:r>
    </w:p>
    <w:p>
      <w:pPr>
        <w:rPr>
          <w:rFonts w:hint="default"/>
          <w:color w:val="auto"/>
          <w:lang w:val="en"/>
        </w:rPr>
      </w:pPr>
    </w:p>
    <w:p>
      <w:pPr>
        <w:tabs>
          <w:tab w:val="left" w:pos="5628"/>
        </w:tabs>
        <w:rPr>
          <w:rFonts w:hint="eastAsia"/>
          <w:color w:val="auto"/>
          <w:lang w:val="en" w:eastAsia="zh-CN"/>
        </w:rPr>
      </w:pPr>
      <w:r>
        <w:rPr>
          <w:rFonts w:hint="eastAsia"/>
          <w:color w:val="auto"/>
          <w:lang w:val="en" w:eastAsia="zh-CN"/>
        </w:rPr>
        <w:tab/>
      </w:r>
    </w:p>
    <w:p>
      <w:pPr>
        <w:tabs>
          <w:tab w:val="left" w:pos="5628"/>
        </w:tabs>
        <w:rPr>
          <w:rFonts w:hint="eastAsia"/>
          <w:color w:val="auto"/>
          <w:lang w:val="en" w:eastAsia="zh-CN"/>
        </w:rPr>
      </w:pPr>
    </w:p>
    <w:p>
      <w:pPr>
        <w:tabs>
          <w:tab w:val="left" w:pos="5628"/>
        </w:tabs>
        <w:rPr>
          <w:rFonts w:hint="eastAsia"/>
          <w:color w:val="auto"/>
          <w:lang w:val="en" w:eastAsia="zh-CN"/>
        </w:rPr>
      </w:pPr>
    </w:p>
    <w:p>
      <w:pPr>
        <w:tabs>
          <w:tab w:val="left" w:pos="5628"/>
        </w:tabs>
        <w:rPr>
          <w:rFonts w:hint="eastAsia"/>
          <w:color w:val="auto"/>
          <w:lang w:val="en" w:eastAsia="zh-CN"/>
        </w:rPr>
      </w:pPr>
    </w:p>
    <w:p>
      <w:pPr>
        <w:rPr>
          <w:rFonts w:hint="default"/>
          <w:color w:val="auto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48640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5pt;height:0pt;width:432pt;z-index:251661312;mso-width-relative:page;mso-height-relative:page;" filled="f" stroked="t" coordsize="21600,21600" o:gfxdata="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brB001AAAAAYBAAAPAAAAAAAAAAEAIAAAACIAAABkcnMvZG93bnJldi54bWxQ&#10;SwECFAAUAAAACACHTuJAnDAXxPsBAADy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486400" cy="0"/>
                <wp:effectExtent l="0" t="7620" r="0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6pt;height:0pt;width:432pt;z-index:251660288;mso-width-relative:page;mso-height-relative:page;" filled="f" stroked="t" coordsize="21600,21600" o:gfxdata="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nt7C9MAAAAEAQAADwAAAAAAAAABACAAAAAiAAAAZHJzL2Rvd25yZXYueG1sUEsB&#10;AhQAFAAAAAgAh07iQLl/7SX6AQAA8wMAAA4AAAAAAAAAAQAgAAAAIgEAAGRycy9lMm9Eb2MueG1s&#10;UEsFBgAAAAAGAAYAWQEAAI4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pacing w:val="0"/>
          <w:sz w:val="28"/>
          <w:szCs w:val="28"/>
        </w:rPr>
        <w:t>抄送：</w:t>
      </w:r>
      <w:r>
        <w:rPr>
          <w:rFonts w:hint="eastAsia" w:ascii="仿宋_GB2312" w:hAnsi="Calibri" w:eastAsia="仿宋_GB2312"/>
          <w:spacing w:val="0"/>
          <w:sz w:val="28"/>
          <w:szCs w:val="28"/>
        </w:rPr>
        <w:t>省林业和草原局</w:t>
      </w:r>
      <w:r>
        <w:rPr>
          <w:rFonts w:hint="eastAsia" w:ascii="仿宋_GB2312" w:hAnsi="Calibri" w:eastAsia="仿宋_GB2312"/>
          <w:spacing w:val="0"/>
          <w:sz w:val="28"/>
          <w:szCs w:val="28"/>
          <w:lang w:val="en-US" w:eastAsia="zh-CN"/>
        </w:rPr>
        <w:t>规财处</w:t>
      </w:r>
      <w:r>
        <w:rPr>
          <w:rFonts w:hint="eastAsia" w:ascii="仿宋_GB2312" w:eastAsia="仿宋_GB2312"/>
          <w:spacing w:val="0"/>
          <w:sz w:val="28"/>
          <w:szCs w:val="28"/>
        </w:rPr>
        <w:t>，</w:t>
      </w:r>
      <w:r>
        <w:rPr>
          <w:rFonts w:hint="eastAsia" w:ascii="仿宋_GB2312" w:eastAsia="仿宋_GB2312"/>
          <w:spacing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0"/>
          <w:sz w:val="28"/>
          <w:szCs w:val="28"/>
        </w:rPr>
        <w:t xml:space="preserve"> </w:t>
      </w:r>
      <w:r>
        <w:rPr>
          <w:rFonts w:hint="eastAsia" w:ascii="仿宋_GB2312" w:eastAsia="仿宋_GB2312"/>
          <w:spacing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eastAsia="仿宋_GB2312"/>
          <w:spacing w:val="0"/>
          <w:sz w:val="28"/>
          <w:szCs w:val="28"/>
        </w:rPr>
        <w:t>存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档（2）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份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pacing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486400" cy="0"/>
                <wp:effectExtent l="0" t="7620" r="0" b="114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3.55pt;height:0pt;width:432pt;z-index:251662336;mso-width-relative:page;mso-height-relative:page;" filled="f" stroked="t" coordsize="21600,21600" o:gfxdata="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ZvJLRtUAAAAGAQAADwAAAAAAAAABACAAAAAiAAAAZHJzL2Rvd25yZXYueG1s&#10;UEsBAhQAFAAAAAgAh07iQG4IsO77AQAA8wMAAA4AAAAAAAAAAQAgAAAAJAEAAGRycy9lMm9Eb2Mu&#10;eG1sUEsFBgAAAAAGAAYAWQEAAJE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甘肃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黄河首曲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</w:rPr>
        <w:t>国家级自然保护区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 xml:space="preserve">管护中心办公室 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pacing w:val="-20"/>
          <w:sz w:val="28"/>
          <w:szCs w:val="28"/>
          <w:lang w:val="en-US" w:eastAsia="zh-CN"/>
        </w:rPr>
        <w:t>19日</w: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印发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663873"/>
    <w:multiLevelType w:val="singleLevel"/>
    <w:tmpl w:val="E1663873"/>
    <w:lvl w:ilvl="0" w:tentative="0">
      <w:start w:val="2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jMWQ2ZTRmOWFkNGRlY2ExYzZlZTMyY2IzNGVjYzAifQ=="/>
  </w:docVars>
  <w:rsids>
    <w:rsidRoot w:val="00000000"/>
    <w:rsid w:val="01E66632"/>
    <w:rsid w:val="02B22109"/>
    <w:rsid w:val="07A10FA7"/>
    <w:rsid w:val="07B26EB8"/>
    <w:rsid w:val="09242A6D"/>
    <w:rsid w:val="094B3B92"/>
    <w:rsid w:val="0ACC426D"/>
    <w:rsid w:val="0B0D507E"/>
    <w:rsid w:val="0BD07803"/>
    <w:rsid w:val="0EE3739A"/>
    <w:rsid w:val="116611DD"/>
    <w:rsid w:val="11E662A7"/>
    <w:rsid w:val="13766871"/>
    <w:rsid w:val="14871E12"/>
    <w:rsid w:val="14DB4965"/>
    <w:rsid w:val="152E2251"/>
    <w:rsid w:val="155516DE"/>
    <w:rsid w:val="172B70CF"/>
    <w:rsid w:val="17815E67"/>
    <w:rsid w:val="193E47F3"/>
    <w:rsid w:val="19855AD7"/>
    <w:rsid w:val="19BD52A0"/>
    <w:rsid w:val="1A9153E9"/>
    <w:rsid w:val="1D003443"/>
    <w:rsid w:val="1EC80CEF"/>
    <w:rsid w:val="1ED8781E"/>
    <w:rsid w:val="2070465F"/>
    <w:rsid w:val="21937A2C"/>
    <w:rsid w:val="21A70C19"/>
    <w:rsid w:val="227D0BA3"/>
    <w:rsid w:val="22EF59FA"/>
    <w:rsid w:val="23057F93"/>
    <w:rsid w:val="24394AB8"/>
    <w:rsid w:val="26627963"/>
    <w:rsid w:val="2BAE0F3E"/>
    <w:rsid w:val="30F00A1C"/>
    <w:rsid w:val="363178AA"/>
    <w:rsid w:val="376C7D9C"/>
    <w:rsid w:val="37D47C79"/>
    <w:rsid w:val="38282BE2"/>
    <w:rsid w:val="399901B0"/>
    <w:rsid w:val="3A9476A9"/>
    <w:rsid w:val="3B425405"/>
    <w:rsid w:val="3E3C4911"/>
    <w:rsid w:val="3E491A20"/>
    <w:rsid w:val="3EAB0813"/>
    <w:rsid w:val="406F34CA"/>
    <w:rsid w:val="40DA6FCE"/>
    <w:rsid w:val="411B18E5"/>
    <w:rsid w:val="41B4781F"/>
    <w:rsid w:val="42FB14BA"/>
    <w:rsid w:val="43452A07"/>
    <w:rsid w:val="45290D07"/>
    <w:rsid w:val="47131A13"/>
    <w:rsid w:val="47D07AD2"/>
    <w:rsid w:val="489858C1"/>
    <w:rsid w:val="4CAC1C81"/>
    <w:rsid w:val="4CD12F98"/>
    <w:rsid w:val="4CF331C6"/>
    <w:rsid w:val="4DFA2A5E"/>
    <w:rsid w:val="4EA518E3"/>
    <w:rsid w:val="4F715725"/>
    <w:rsid w:val="4FA75007"/>
    <w:rsid w:val="5218124C"/>
    <w:rsid w:val="52C245F2"/>
    <w:rsid w:val="533C20CE"/>
    <w:rsid w:val="536364E5"/>
    <w:rsid w:val="55117937"/>
    <w:rsid w:val="58E53C09"/>
    <w:rsid w:val="58F702C5"/>
    <w:rsid w:val="59F82E76"/>
    <w:rsid w:val="5AB42E0C"/>
    <w:rsid w:val="5DCE2BD4"/>
    <w:rsid w:val="5E3B7CC9"/>
    <w:rsid w:val="5EF76366"/>
    <w:rsid w:val="5F465B03"/>
    <w:rsid w:val="5F746FE1"/>
    <w:rsid w:val="62B62F9F"/>
    <w:rsid w:val="63435B42"/>
    <w:rsid w:val="639F5C90"/>
    <w:rsid w:val="65181E49"/>
    <w:rsid w:val="67141933"/>
    <w:rsid w:val="69B069BE"/>
    <w:rsid w:val="69C80423"/>
    <w:rsid w:val="6A472A21"/>
    <w:rsid w:val="6E7066F8"/>
    <w:rsid w:val="6FF34605"/>
    <w:rsid w:val="70362055"/>
    <w:rsid w:val="70F97C5F"/>
    <w:rsid w:val="72032445"/>
    <w:rsid w:val="727268CB"/>
    <w:rsid w:val="761E4F88"/>
    <w:rsid w:val="76D3BF82"/>
    <w:rsid w:val="77383B2B"/>
    <w:rsid w:val="77531868"/>
    <w:rsid w:val="77BF38EF"/>
    <w:rsid w:val="77FA7293"/>
    <w:rsid w:val="79D405D3"/>
    <w:rsid w:val="79EF0F33"/>
    <w:rsid w:val="7AA82AEC"/>
    <w:rsid w:val="7BEDA395"/>
    <w:rsid w:val="7D578A46"/>
    <w:rsid w:val="7D7469D8"/>
    <w:rsid w:val="7E9F5E11"/>
    <w:rsid w:val="7F474562"/>
    <w:rsid w:val="7F5B2429"/>
    <w:rsid w:val="BB5E5A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8">
    <w:name w:val="font71"/>
    <w:basedOn w:val="5"/>
    <w:qFormat/>
    <w:uiPriority w:val="0"/>
    <w:rPr>
      <w:rFonts w:ascii="仿宋_GB2312" w:eastAsia="仿宋_GB2312" w:cs="仿宋_GB2312"/>
      <w:color w:val="000000"/>
      <w:sz w:val="44"/>
      <w:szCs w:val="44"/>
      <w:u w:val="none"/>
    </w:rPr>
  </w:style>
  <w:style w:type="character" w:customStyle="1" w:styleId="9">
    <w:name w:val="font01"/>
    <w:basedOn w:val="5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10">
    <w:name w:val="font61"/>
    <w:basedOn w:val="5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11">
    <w:name w:val="font51"/>
    <w:basedOn w:val="5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2858</Words>
  <Characters>3153</Characters>
  <Lines>0</Lines>
  <Paragraphs>0</Paragraphs>
  <TotalTime>49</TotalTime>
  <ScaleCrop>false</ScaleCrop>
  <LinksUpToDate>false</LinksUpToDate>
  <CharactersWithSpaces>3248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晨曦</cp:lastModifiedBy>
  <dcterms:modified xsi:type="dcterms:W3CDTF">2024-08-20T09:47:35Z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B55B89E6C80F449EB2DB3431D8BD60F1_13</vt:lpwstr>
  </property>
</Properties>
</file>