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50669">
      <w:pPr>
        <w:jc w:val="center"/>
        <w:rPr>
          <w:rFonts w:hint="eastAsia" w:ascii="方正小标宋简体" w:hAnsi="方正小标宋简体" w:eastAsia="方正小标宋简体" w:cs="方正小标宋简体"/>
          <w:b w:val="0"/>
          <w:bCs w:val="0"/>
          <w:color w:val="auto"/>
          <w:sz w:val="44"/>
          <w:szCs w:val="44"/>
          <w:lang w:val="e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甘肃尕海则岔国家级自然保护区管护中心关于开展</w:t>
      </w:r>
      <w:r>
        <w:rPr>
          <w:rFonts w:hint="eastAsia" w:ascii="方正小标宋简体" w:hAnsi="方正小标宋简体" w:eastAsia="方正小标宋简体" w:cs="方正小标宋简体"/>
          <w:b w:val="0"/>
          <w:bCs w:val="0"/>
          <w:color w:val="auto"/>
          <w:sz w:val="44"/>
          <w:szCs w:val="44"/>
          <w:lang w:val="en"/>
        </w:rPr>
        <w:t>202</w:t>
      </w:r>
      <w:r>
        <w:rPr>
          <w:rFonts w:hint="eastAsia" w:ascii="方正小标宋简体" w:hAnsi="方正小标宋简体" w:eastAsia="方正小标宋简体" w:cs="方正小标宋简体"/>
          <w:b w:val="0"/>
          <w:bCs w:val="0"/>
          <w:color w:val="auto"/>
          <w:sz w:val="44"/>
          <w:szCs w:val="44"/>
          <w:lang w:val="en-US" w:eastAsia="zh-CN"/>
        </w:rPr>
        <w:t>4</w:t>
      </w:r>
      <w:r>
        <w:rPr>
          <w:rFonts w:hint="eastAsia" w:ascii="方正小标宋简体" w:hAnsi="方正小标宋简体" w:eastAsia="方正小标宋简体" w:cs="方正小标宋简体"/>
          <w:b w:val="0"/>
          <w:bCs w:val="0"/>
          <w:color w:val="auto"/>
          <w:sz w:val="44"/>
          <w:szCs w:val="44"/>
          <w:lang w:val="en"/>
        </w:rPr>
        <w:t>年度省级预算执行</w:t>
      </w:r>
    </w:p>
    <w:p w14:paraId="41B5B6C1">
      <w:pPr>
        <w:jc w:val="center"/>
        <w:rPr>
          <w:rFonts w:hint="eastAsia" w:ascii="方正小标宋简体" w:hAnsi="方正小标宋简体" w:eastAsia="方正小标宋简体" w:cs="方正小标宋简体"/>
          <w:b w:val="0"/>
          <w:bCs w:val="0"/>
          <w:color w:val="auto"/>
          <w:sz w:val="44"/>
          <w:szCs w:val="44"/>
          <w:lang w:val="en"/>
        </w:rPr>
      </w:pPr>
      <w:r>
        <w:rPr>
          <w:rFonts w:hint="eastAsia" w:ascii="方正小标宋简体" w:hAnsi="方正小标宋简体" w:eastAsia="方正小标宋简体" w:cs="方正小标宋简体"/>
          <w:b w:val="0"/>
          <w:bCs w:val="0"/>
          <w:color w:val="auto"/>
          <w:sz w:val="44"/>
          <w:szCs w:val="44"/>
          <w:lang w:val="en"/>
        </w:rPr>
        <w:t>情况</w:t>
      </w:r>
      <w:r>
        <w:rPr>
          <w:rFonts w:hint="eastAsia" w:ascii="方正小标宋简体" w:hAnsi="方正小标宋简体" w:eastAsia="方正小标宋简体" w:cs="方正小标宋简体"/>
          <w:b w:val="0"/>
          <w:bCs w:val="0"/>
          <w:color w:val="auto"/>
          <w:sz w:val="44"/>
          <w:szCs w:val="44"/>
          <w:lang w:val="en" w:eastAsia="zh-CN"/>
        </w:rPr>
        <w:t>的绩效</w:t>
      </w:r>
      <w:r>
        <w:rPr>
          <w:rFonts w:hint="eastAsia" w:ascii="方正小标宋简体" w:hAnsi="方正小标宋简体" w:eastAsia="方正小标宋简体" w:cs="方正小标宋简体"/>
          <w:b w:val="0"/>
          <w:bCs w:val="0"/>
          <w:color w:val="auto"/>
          <w:sz w:val="44"/>
          <w:szCs w:val="44"/>
          <w:lang w:val="en"/>
        </w:rPr>
        <w:t>自评报告</w:t>
      </w:r>
    </w:p>
    <w:p w14:paraId="02798507">
      <w:pPr>
        <w:jc w:val="left"/>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甘肃省林业和草原局</w:t>
      </w:r>
      <w:r>
        <w:rPr>
          <w:rFonts w:hint="eastAsia" w:ascii="仿宋_GB2312" w:hAnsi="仿宋_GB2312" w:eastAsia="仿宋_GB2312" w:cs="仿宋_GB2312"/>
          <w:sz w:val="32"/>
          <w:szCs w:val="32"/>
          <w:lang w:val="en-US" w:eastAsia="zh-CN"/>
        </w:rPr>
        <w:t>：</w:t>
      </w:r>
    </w:p>
    <w:p w14:paraId="6D4F3AB9">
      <w:pPr>
        <w:tabs>
          <w:tab w:val="left" w:pos="720"/>
          <w:tab w:val="left" w:pos="3600"/>
        </w:tabs>
        <w:spacing w:line="640" w:lineRule="exact"/>
        <w:ind w:firstLine="640" w:firstLineChars="200"/>
        <w:jc w:val="left"/>
        <w:rPr>
          <w:rFonts w:hint="eastAsia" w:ascii="方正小标宋简体" w:hAnsi="方正小标宋简体" w:eastAsia="方正小标宋简体" w:cs="方正小标宋简体"/>
          <w:b w:val="0"/>
          <w:bCs w:val="0"/>
          <w:color w:val="auto"/>
          <w:sz w:val="44"/>
          <w:szCs w:val="44"/>
          <w:lang w:val="en"/>
        </w:rPr>
      </w:pPr>
      <w:r>
        <w:rPr>
          <w:rFonts w:hint="eastAsia" w:ascii="仿宋_GB2312" w:hAnsi="仿宋_GB2312" w:eastAsia="仿宋_GB2312" w:cs="仿宋_GB2312"/>
          <w:sz w:val="32"/>
          <w:szCs w:val="32"/>
          <w:lang w:val="en-US" w:eastAsia="zh-CN"/>
        </w:rPr>
        <w:t>根据省林业和草原局《关于开展2024年度省级预算执行情况绩效评价工作的通知》精神，</w:t>
      </w:r>
      <w:r>
        <w:rPr>
          <w:rFonts w:hint="eastAsia" w:ascii="仿宋_GB2312" w:hAnsi="仿宋" w:eastAsia="仿宋_GB2312" w:cs="仿宋"/>
          <w:sz w:val="32"/>
          <w:szCs w:val="32"/>
          <w:lang w:eastAsia="zh-CN"/>
        </w:rPr>
        <w:t>我中心</w:t>
      </w:r>
      <w:r>
        <w:rPr>
          <w:rFonts w:hint="eastAsia" w:ascii="仿宋_GB2312" w:hAnsi="仿宋" w:eastAsia="仿宋_GB2312" w:cs="仿宋"/>
          <w:sz w:val="32"/>
          <w:szCs w:val="32"/>
        </w:rPr>
        <w:t>高度重视，</w:t>
      </w:r>
      <w:r>
        <w:rPr>
          <w:rFonts w:hint="eastAsia" w:ascii="仿宋_GB2312" w:hAnsi="仿宋" w:eastAsia="仿宋_GB2312" w:cs="仿宋"/>
          <w:sz w:val="32"/>
          <w:szCs w:val="32"/>
          <w:lang w:eastAsia="zh-CN"/>
        </w:rPr>
        <w:t>组成由计财科带头，各科室配合的绩效自评小组开展项目建设自评工作。现将有关绩效自评的情况汇报如下：</w:t>
      </w:r>
    </w:p>
    <w:p w14:paraId="1701C19E">
      <w:pPr>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xml:space="preserve">    </w:t>
      </w:r>
      <w:r>
        <w:rPr>
          <w:rFonts w:hint="eastAsia" w:ascii="黑体" w:hAnsi="黑体" w:eastAsia="黑体" w:cs="黑体"/>
          <w:sz w:val="32"/>
          <w:szCs w:val="32"/>
          <w:lang w:val="en"/>
        </w:rPr>
        <w:t>一、基本情况</w:t>
      </w:r>
    </w:p>
    <w:p w14:paraId="32802404">
      <w:pPr>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xml:space="preserve">   （一）部门主要职能。</w:t>
      </w:r>
    </w:p>
    <w:p w14:paraId="71418311">
      <w:pPr>
        <w:spacing w:line="640" w:lineRule="exact"/>
        <w:ind w:firstLine="640" w:firstLineChars="200"/>
        <w:outlineLvl w:val="0"/>
        <w:rPr>
          <w:rFonts w:hint="eastAsia" w:ascii="仿宋_GB2312" w:hAnsi="仿宋_GB2312" w:eastAsia="仿宋_GB2312" w:cs="仿宋_GB2312"/>
          <w:sz w:val="32"/>
          <w:szCs w:val="32"/>
          <w:lang w:val="en"/>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、负责贯彻执行国家有关自然保护的法律、法规和方针、政策；</w:t>
      </w:r>
      <w:r>
        <w:rPr>
          <w:rFonts w:hint="eastAsia" w:ascii="仿宋_GB2312" w:hAnsi="仿宋" w:eastAsia="仿宋_GB2312" w:cs="仿宋"/>
          <w:sz w:val="32"/>
          <w:szCs w:val="32"/>
        </w:rPr>
        <w:br w:type="textWrapping"/>
      </w:r>
      <w:r>
        <w:rPr>
          <w:rFonts w:hint="eastAsia" w:ascii="仿宋_GB2312" w:hAnsi="仿宋" w:eastAsia="仿宋_GB2312" w:cs="仿宋"/>
          <w:sz w:val="32"/>
          <w:szCs w:val="32"/>
          <w:lang w:val="en-US" w:eastAsia="zh-CN"/>
        </w:rPr>
        <w:t xml:space="preserve">    2</w:t>
      </w:r>
      <w:r>
        <w:rPr>
          <w:rFonts w:hint="eastAsia" w:ascii="仿宋_GB2312" w:hAnsi="仿宋" w:eastAsia="仿宋_GB2312" w:cs="仿宋"/>
          <w:sz w:val="32"/>
          <w:szCs w:val="32"/>
        </w:rPr>
        <w:t>、制订自然保护区各项管理制度和保护措施；</w:t>
      </w:r>
      <w:r>
        <w:rPr>
          <w:rFonts w:hint="eastAsia" w:ascii="仿宋_GB2312" w:hAnsi="仿宋" w:eastAsia="仿宋_GB2312" w:cs="仿宋"/>
          <w:sz w:val="32"/>
          <w:szCs w:val="32"/>
        </w:rPr>
        <w:br w:type="textWrapping"/>
      </w:r>
      <w:r>
        <w:rPr>
          <w:rFonts w:hint="eastAsia" w:ascii="仿宋_GB2312" w:hAnsi="仿宋" w:eastAsia="仿宋_GB2312" w:cs="仿宋"/>
          <w:sz w:val="32"/>
          <w:szCs w:val="32"/>
          <w:lang w:val="en-US" w:eastAsia="zh-CN"/>
        </w:rPr>
        <w:t xml:space="preserve">    3</w:t>
      </w:r>
      <w:r>
        <w:rPr>
          <w:rFonts w:hint="eastAsia" w:ascii="仿宋_GB2312" w:hAnsi="仿宋" w:eastAsia="仿宋_GB2312" w:cs="仿宋"/>
          <w:sz w:val="32"/>
          <w:szCs w:val="32"/>
        </w:rPr>
        <w:t>、调查自然资源并建立档案，组织环境与资源监测，保护自然环境和自然资源，协助有关部门开展科学研究工作；</w:t>
      </w:r>
      <w:r>
        <w:rPr>
          <w:rFonts w:hint="eastAsia" w:ascii="仿宋_GB2312" w:hAnsi="仿宋" w:eastAsia="仿宋_GB2312" w:cs="仿宋"/>
          <w:sz w:val="32"/>
          <w:szCs w:val="32"/>
        </w:rPr>
        <w:br w:type="textWrapping"/>
      </w:r>
      <w:r>
        <w:rPr>
          <w:rFonts w:hint="eastAsia" w:ascii="仿宋_GB2312" w:hAnsi="仿宋" w:eastAsia="仿宋_GB2312" w:cs="仿宋"/>
          <w:sz w:val="32"/>
          <w:szCs w:val="32"/>
          <w:lang w:val="en-US" w:eastAsia="zh-CN"/>
        </w:rPr>
        <w:t xml:space="preserve">    4</w:t>
      </w:r>
      <w:r>
        <w:rPr>
          <w:rFonts w:hint="eastAsia" w:ascii="仿宋_GB2312" w:hAnsi="仿宋" w:eastAsia="仿宋_GB2312" w:cs="仿宋"/>
          <w:sz w:val="32"/>
          <w:szCs w:val="32"/>
        </w:rPr>
        <w:t>、负责自然保护区界标的竖立和管理；</w:t>
      </w:r>
      <w:r>
        <w:rPr>
          <w:rFonts w:hint="eastAsia" w:ascii="仿宋_GB2312" w:hAnsi="仿宋" w:eastAsia="仿宋_GB2312" w:cs="仿宋"/>
          <w:sz w:val="32"/>
          <w:szCs w:val="32"/>
        </w:rPr>
        <w:br w:type="textWrapping"/>
      </w:r>
      <w:r>
        <w:rPr>
          <w:rFonts w:hint="eastAsia" w:ascii="仿宋_GB2312" w:hAnsi="仿宋" w:eastAsia="仿宋_GB2312" w:cs="仿宋"/>
          <w:sz w:val="32"/>
          <w:szCs w:val="32"/>
          <w:lang w:val="en-US" w:eastAsia="zh-CN"/>
        </w:rPr>
        <w:t xml:space="preserve">    5</w:t>
      </w:r>
      <w:r>
        <w:rPr>
          <w:rFonts w:hint="eastAsia" w:ascii="仿宋_GB2312" w:hAnsi="仿宋" w:eastAsia="仿宋_GB2312" w:cs="仿宋"/>
          <w:sz w:val="32"/>
          <w:szCs w:val="32"/>
        </w:rPr>
        <w:t>、进行自然保护的宣传教育，组织开展参观、旅游等活动。</w:t>
      </w:r>
    </w:p>
    <w:p w14:paraId="5AD3A18F">
      <w:pPr>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xml:space="preserve">   （二）内设机构及所属单位概况。</w:t>
      </w:r>
    </w:p>
    <w:p w14:paraId="77D98743">
      <w:pPr>
        <w:ind w:firstLine="640" w:firstLineChars="200"/>
        <w:rPr>
          <w:rFonts w:hint="eastAsia" w:ascii="仿宋_GB2312" w:hAnsi="仿宋_GB2312" w:eastAsia="仿宋_GB2312" w:cs="仿宋_GB2312"/>
          <w:sz w:val="32"/>
          <w:szCs w:val="32"/>
          <w:lang w:val="en"/>
        </w:rPr>
      </w:pPr>
      <w:r>
        <w:rPr>
          <w:rFonts w:hint="eastAsia" w:ascii="仿宋_GB2312" w:hAnsi="仿宋" w:eastAsia="仿宋_GB2312" w:cs="仿宋"/>
          <w:sz w:val="32"/>
          <w:szCs w:val="32"/>
        </w:rPr>
        <w:t>保护区</w:t>
      </w:r>
      <w:r>
        <w:rPr>
          <w:rFonts w:hint="eastAsia" w:ascii="仿宋_GB2312" w:hAnsi="仿宋" w:eastAsia="仿宋_GB2312" w:cs="仿宋"/>
          <w:sz w:val="32"/>
          <w:szCs w:val="32"/>
          <w:lang w:eastAsia="zh-CN"/>
        </w:rPr>
        <w:t>管护中心</w:t>
      </w:r>
      <w:r>
        <w:rPr>
          <w:rFonts w:hint="eastAsia" w:ascii="仿宋_GB2312" w:hAnsi="仿宋" w:eastAsia="仿宋_GB2312" w:cs="仿宋"/>
          <w:sz w:val="32"/>
          <w:szCs w:val="32"/>
        </w:rPr>
        <w:t>于200</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由省编办核准，于</w:t>
      </w:r>
      <w:r>
        <w:rPr>
          <w:rFonts w:hint="eastAsia" w:ascii="仿宋_GB2312" w:hAnsi="仿宋" w:eastAsia="仿宋_GB2312" w:cs="仿宋"/>
          <w:sz w:val="32"/>
          <w:szCs w:val="32"/>
          <w:lang w:val="en-US" w:eastAsia="zh-CN"/>
        </w:rPr>
        <w:t>2003年</w:t>
      </w:r>
      <w:r>
        <w:rPr>
          <w:rFonts w:hint="eastAsia" w:ascii="仿宋_GB2312" w:hAnsi="仿宋" w:eastAsia="仿宋_GB2312" w:cs="仿宋"/>
          <w:sz w:val="32"/>
          <w:szCs w:val="32"/>
        </w:rPr>
        <w:t>1月6日正式挂牌成立，</w:t>
      </w:r>
      <w:r>
        <w:rPr>
          <w:rFonts w:hint="eastAsia" w:ascii="仿宋_GB2312" w:hAnsi="仿宋" w:eastAsia="仿宋_GB2312" w:cs="仿宋"/>
          <w:sz w:val="32"/>
          <w:szCs w:val="32"/>
          <w:lang w:eastAsia="zh-CN"/>
        </w:rPr>
        <w:t>隶属于</w:t>
      </w:r>
      <w:r>
        <w:rPr>
          <w:rFonts w:hint="eastAsia" w:ascii="仿宋_GB2312" w:hAnsi="仿宋" w:eastAsia="仿宋_GB2312" w:cs="仿宋"/>
          <w:sz w:val="32"/>
          <w:szCs w:val="32"/>
        </w:rPr>
        <w:t>省林业和草原局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正处级</w:t>
      </w:r>
      <w:r>
        <w:rPr>
          <w:rFonts w:hint="eastAsia" w:ascii="仿宋_GB2312" w:hAnsi="仿宋" w:eastAsia="仿宋_GB2312" w:cs="仿宋"/>
          <w:sz w:val="32"/>
          <w:szCs w:val="32"/>
          <w:lang w:eastAsia="zh-CN"/>
        </w:rPr>
        <w:t>建制</w:t>
      </w:r>
      <w:r>
        <w:rPr>
          <w:rFonts w:hint="eastAsia" w:ascii="仿宋_GB2312" w:hAnsi="仿宋" w:eastAsia="仿宋_GB2312" w:cs="仿宋"/>
          <w:sz w:val="32"/>
          <w:szCs w:val="32"/>
        </w:rPr>
        <w:t>全额拨款事业单位，核定财政拨款事业编制</w:t>
      </w:r>
      <w:r>
        <w:rPr>
          <w:rFonts w:hint="eastAsia" w:ascii="仿宋_GB2312" w:hAnsi="仿宋" w:eastAsia="仿宋_GB2312" w:cs="仿宋"/>
          <w:sz w:val="32"/>
          <w:szCs w:val="32"/>
          <w:lang w:val="en-US" w:eastAsia="zh-CN"/>
        </w:rPr>
        <w:t>41</w:t>
      </w:r>
      <w:r>
        <w:rPr>
          <w:rFonts w:hint="eastAsia" w:ascii="仿宋_GB2312" w:hAnsi="仿宋" w:eastAsia="仿宋_GB2312" w:cs="仿宋"/>
          <w:sz w:val="32"/>
          <w:szCs w:val="32"/>
        </w:rPr>
        <w:t>名，处级领导职数</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名；</w:t>
      </w:r>
      <w:r>
        <w:rPr>
          <w:rFonts w:hint="eastAsia" w:ascii="仿宋_GB2312" w:hAnsi="仿宋" w:eastAsia="仿宋_GB2312" w:cs="仿宋"/>
          <w:sz w:val="32"/>
          <w:szCs w:val="32"/>
          <w:lang w:eastAsia="zh-CN"/>
        </w:rPr>
        <w:t>管护中心设</w:t>
      </w:r>
      <w:r>
        <w:rPr>
          <w:rFonts w:hint="eastAsia" w:ascii="仿宋_GB2312" w:hAnsi="仿宋" w:eastAsia="仿宋_GB2312" w:cs="仿宋"/>
          <w:sz w:val="32"/>
          <w:szCs w:val="32"/>
          <w:lang w:val="en-US" w:eastAsia="zh-CN"/>
        </w:rPr>
        <w:t>7个科室、3个保护站，均为正科级建制。目前实有职工116名，其中在编职工38人，天保公益林职工78人，县级干部5人。</w:t>
      </w:r>
    </w:p>
    <w:p w14:paraId="5467A894">
      <w:pPr>
        <w:ind w:firstLine="640" w:firstLineChars="200"/>
        <w:rPr>
          <w:rFonts w:hint="eastAsia" w:ascii="仿宋_GB2312" w:hAnsi="仿宋_GB2312" w:eastAsia="仿宋_GB2312" w:cs="仿宋_GB2312"/>
          <w:sz w:val="32"/>
          <w:szCs w:val="32"/>
          <w:lang w:val="en"/>
        </w:rPr>
      </w:pPr>
      <w:r>
        <w:rPr>
          <w:rFonts w:hint="eastAsia" w:ascii="黑体" w:hAnsi="黑体" w:eastAsia="黑体" w:cs="黑体"/>
          <w:sz w:val="32"/>
          <w:szCs w:val="32"/>
          <w:lang w:val="en"/>
        </w:rPr>
        <w:t>二、绩效自评工作组织开展情况</w:t>
      </w:r>
    </w:p>
    <w:p w14:paraId="2E847F44">
      <w:pPr>
        <w:tabs>
          <w:tab w:val="left" w:pos="720"/>
          <w:tab w:val="left" w:pos="3600"/>
        </w:tabs>
        <w:spacing w:line="64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lang w:eastAsia="zh-CN"/>
        </w:rPr>
        <w:t>按照</w:t>
      </w:r>
      <w:r>
        <w:rPr>
          <w:rFonts w:hint="eastAsia" w:ascii="仿宋_GB2312" w:hAnsi="仿宋" w:eastAsia="仿宋_GB2312" w:cs="仿宋"/>
          <w:sz w:val="32"/>
          <w:szCs w:val="32"/>
        </w:rPr>
        <w:t>省林业和草原局《关于开展202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年度省级预算执行情况绩效评价工作的通知》文件</w:t>
      </w:r>
      <w:r>
        <w:rPr>
          <w:rFonts w:hint="eastAsia" w:ascii="仿宋_GB2312" w:hAnsi="仿宋" w:eastAsia="仿宋_GB2312" w:cs="仿宋"/>
          <w:sz w:val="32"/>
          <w:szCs w:val="32"/>
          <w:lang w:eastAsia="zh-CN"/>
        </w:rPr>
        <w:t>精神</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我中心</w:t>
      </w:r>
      <w:r>
        <w:rPr>
          <w:rFonts w:hint="eastAsia" w:ascii="仿宋_GB2312" w:hAnsi="仿宋" w:eastAsia="仿宋_GB2312" w:cs="仿宋"/>
          <w:sz w:val="32"/>
          <w:szCs w:val="32"/>
        </w:rPr>
        <w:t>高度重视，</w:t>
      </w:r>
      <w:r>
        <w:rPr>
          <w:rFonts w:hint="eastAsia" w:ascii="仿宋_GB2312" w:hAnsi="仿宋" w:eastAsia="仿宋_GB2312" w:cs="仿宋"/>
          <w:sz w:val="32"/>
          <w:szCs w:val="32"/>
          <w:lang w:eastAsia="zh-CN"/>
        </w:rPr>
        <w:t>组成由计财科带头，各科室配合的绩效自评小组开展项目建设自评工作。</w:t>
      </w:r>
    </w:p>
    <w:p w14:paraId="76EE7945">
      <w:pPr>
        <w:spacing w:line="640" w:lineRule="exact"/>
        <w:ind w:firstLine="640" w:firstLineChars="200"/>
        <w:outlineLvl w:val="0"/>
        <w:rPr>
          <w:rFonts w:hint="eastAsia" w:ascii="楷体" w:hAnsi="楷体" w:eastAsia="楷体" w:cs="楷体"/>
          <w:b w:val="0"/>
          <w:bCs w:val="0"/>
          <w:sz w:val="32"/>
          <w:szCs w:val="32"/>
        </w:rPr>
      </w:pPr>
      <w:r>
        <w:rPr>
          <w:rFonts w:hint="eastAsia" w:ascii="楷体" w:hAnsi="楷体" w:eastAsia="楷体" w:cs="楷体"/>
          <w:b w:val="0"/>
          <w:bCs w:val="0"/>
          <w:sz w:val="32"/>
          <w:szCs w:val="32"/>
        </w:rPr>
        <w:t>（一）自评工作的组织管理情况</w:t>
      </w:r>
    </w:p>
    <w:p w14:paraId="53574BAB">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 w:eastAsia="仿宋_GB2312" w:cs="仿宋"/>
          <w:sz w:val="32"/>
          <w:szCs w:val="32"/>
        </w:rPr>
        <w:t>20</w:t>
      </w:r>
      <w:r>
        <w:rPr>
          <w:rFonts w:hint="eastAsia" w:ascii="仿宋_GB2312" w:hAnsi="仿宋" w:eastAsia="仿宋_GB2312" w:cs="仿宋"/>
          <w:sz w:val="32"/>
          <w:szCs w:val="32"/>
          <w:lang w:val="en-US" w:eastAsia="zh-CN"/>
        </w:rPr>
        <w:t>24</w:t>
      </w:r>
      <w:r>
        <w:rPr>
          <w:rFonts w:hint="eastAsia" w:ascii="仿宋_GB2312" w:hAnsi="仿宋" w:eastAsia="仿宋_GB2312" w:cs="仿宋"/>
          <w:sz w:val="32"/>
          <w:szCs w:val="32"/>
        </w:rPr>
        <w:t>年度省级预算项目执行情况绩效自评工作由</w:t>
      </w:r>
      <w:r>
        <w:rPr>
          <w:rFonts w:hint="eastAsia" w:ascii="仿宋_GB2312" w:hAnsi="仿宋" w:eastAsia="仿宋_GB2312" w:cs="仿宋"/>
          <w:sz w:val="32"/>
          <w:szCs w:val="32"/>
          <w:lang w:eastAsia="zh-CN"/>
        </w:rPr>
        <w:t>我中心绩效自评小组开展，小组在计财科下设办公室，抽调相关人员</w:t>
      </w:r>
      <w:r>
        <w:rPr>
          <w:rFonts w:hint="eastAsia" w:ascii="仿宋_GB2312" w:hAnsi="仿宋" w:eastAsia="仿宋_GB2312" w:cs="仿宋"/>
          <w:sz w:val="32"/>
          <w:szCs w:val="32"/>
        </w:rPr>
        <w:t>开展自评工作。</w:t>
      </w:r>
    </w:p>
    <w:p w14:paraId="579246E9">
      <w:pPr>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（二）绩效自评工作组织开展情况</w:t>
      </w:r>
      <w:r>
        <w:rPr>
          <w:rFonts w:hint="eastAsia" w:ascii="楷体" w:hAnsi="楷体" w:eastAsia="楷体" w:cs="楷体"/>
          <w:sz w:val="32"/>
          <w:szCs w:val="32"/>
          <w:lang w:val="en-US" w:eastAsia="zh-CN"/>
        </w:rPr>
        <w:tab/>
      </w:r>
    </w:p>
    <w:p w14:paraId="210FC861">
      <w:pPr>
        <w:ind w:firstLine="640"/>
        <w:jc w:val="left"/>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包括本部门自评工作组织管理情况，纳入自评范围的项目建设情况、资金使用情况等的审核工作情况。</w:t>
      </w:r>
    </w:p>
    <w:p w14:paraId="441E4357">
      <w:pPr>
        <w:ind w:firstLine="640" w:firstLineChars="200"/>
        <w:rPr>
          <w:rFonts w:hint="eastAsia" w:ascii="黑体" w:hAnsi="黑体" w:eastAsia="黑体" w:cs="黑体"/>
          <w:sz w:val="32"/>
          <w:szCs w:val="32"/>
          <w:lang w:val="en"/>
        </w:rPr>
      </w:pPr>
      <w:r>
        <w:rPr>
          <w:rFonts w:hint="eastAsia" w:ascii="黑体" w:hAnsi="黑体" w:eastAsia="黑体" w:cs="黑体"/>
          <w:sz w:val="32"/>
          <w:szCs w:val="32"/>
          <w:lang w:val="en"/>
        </w:rPr>
        <w:t>三、部门整体支出绩效自评情况分析</w:t>
      </w:r>
      <w:r>
        <w:rPr>
          <w:rFonts w:hint="eastAsia" w:ascii="黑体" w:hAnsi="黑体" w:eastAsia="黑体" w:cs="黑体"/>
          <w:sz w:val="32"/>
          <w:szCs w:val="32"/>
          <w:lang w:val="en"/>
        </w:rPr>
        <w:tab/>
      </w:r>
    </w:p>
    <w:p w14:paraId="6F3AB5B9">
      <w:pPr>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xml:space="preserve">   （一）部门决算情况。</w:t>
      </w:r>
    </w:p>
    <w:p w14:paraId="1B697493">
      <w:pPr>
        <w:spacing w:line="640"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1、2024年项目收入支出情况</w:t>
      </w:r>
    </w:p>
    <w:p w14:paraId="1A7CD92E">
      <w:pPr>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2023年结转项目资金19,384,668.69元；其中财政拨款项目结转19,108,144.44元、非财政拨款（保险公司森林保险赔偿资金）结转276,524.25元。2024年全年总收入38,413,060.1元；其中财政拨款项目收入38,108,504.1元、非财政拨款（保险公司森林保险赔偿资金）收入304,556.00元；其中财政拨款项目支出43,966,508.08元、非财政拨款（保险公司森林保险赔偿资金）支出276,524.25元。2024年末结转项目资金</w:t>
      </w:r>
      <w:r>
        <w:rPr>
          <w:rFonts w:hint="eastAsia" w:ascii="仿宋_GB2312" w:hAnsi="仿宋_GB2312" w:eastAsia="仿宋_GB2312" w:cs="仿宋_GB2312"/>
          <w:sz w:val="32"/>
          <w:szCs w:val="32"/>
          <w:lang w:val="en"/>
        </w:rPr>
        <w:t>13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rPr>
        <w:t>554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rPr>
        <w:t>696.46</w:t>
      </w:r>
      <w:r>
        <w:rPr>
          <w:rFonts w:hint="eastAsia" w:ascii="仿宋_GB2312" w:hAnsi="仿宋_GB2312" w:eastAsia="仿宋_GB2312" w:cs="仿宋_GB2312"/>
          <w:b w:val="0"/>
          <w:bCs w:val="0"/>
          <w:color w:val="auto"/>
          <w:kern w:val="2"/>
          <w:sz w:val="32"/>
          <w:szCs w:val="32"/>
          <w:highlight w:val="none"/>
          <w:lang w:val="en-US" w:eastAsia="zh-CN" w:bidi="ar-SA"/>
        </w:rPr>
        <w:t>元；其中财政拨款项目结转结余13,250,140.46元、非财政拨款（保险公司森林保险赔偿资金）结转304,556.00元。</w:t>
      </w:r>
    </w:p>
    <w:p w14:paraId="677C149D">
      <w:pPr>
        <w:spacing w:line="640"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2、2024年结转项目</w:t>
      </w:r>
    </w:p>
    <w:p w14:paraId="49BA8CDC">
      <w:pPr>
        <w:spacing w:line="640"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2024年度项目结转结余情况</w:t>
      </w:r>
    </w:p>
    <w:p w14:paraId="2DF77384">
      <w:pPr>
        <w:spacing w:line="640"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其他自然保护地支出项目结转结余2,808,300.00元，2024年中央基建投资甘肃尕海则岔国家级自然保护区甘南黄河上游水源涵养与生态保护修复项目结转结余6,270,200.00元，森林资源保护培育与利用资金结转结余4,051,640.46元，森林资源保护培育与利用资金结转结余120,000.00元，其他林业支出（保险公司理赔资金）项目结转结余304,556.00元。</w:t>
      </w:r>
    </w:p>
    <w:p w14:paraId="10E2743B">
      <w:pPr>
        <w:numPr>
          <w:ilvl w:val="0"/>
          <w:numId w:val="1"/>
        </w:numPr>
        <w:spacing w:line="64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总体绩效目标完成情况分析。</w:t>
      </w:r>
    </w:p>
    <w:p w14:paraId="61B99A41">
      <w:pPr>
        <w:numPr>
          <w:ilvl w:val="0"/>
          <w:numId w:val="0"/>
        </w:numPr>
        <w:ind w:left="0" w:leftChars="0"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sz w:val="32"/>
          <w:szCs w:val="32"/>
          <w:lang w:val="en-US" w:eastAsia="zh-CN"/>
        </w:rPr>
        <w:t>2024年全年总收入</w:t>
      </w:r>
      <w:r>
        <w:rPr>
          <w:rFonts w:hint="eastAsia" w:ascii="仿宋_GB2312" w:hAnsi="仿宋_GB2312" w:eastAsia="仿宋_GB2312" w:cs="仿宋_GB2312"/>
          <w:b w:val="0"/>
          <w:bCs w:val="0"/>
          <w:color w:val="auto"/>
          <w:kern w:val="2"/>
          <w:sz w:val="32"/>
          <w:szCs w:val="32"/>
          <w:highlight w:val="none"/>
          <w:lang w:val="en-US" w:eastAsia="zh-CN" w:bidi="ar-SA"/>
        </w:rPr>
        <w:t>57,797,728.79</w:t>
      </w:r>
      <w:r>
        <w:rPr>
          <w:rFonts w:hint="eastAsia" w:ascii="仿宋_GB2312" w:hAnsi="仿宋_GB2312" w:eastAsia="仿宋_GB2312" w:cs="仿宋_GB2312"/>
          <w:sz w:val="32"/>
          <w:szCs w:val="32"/>
          <w:lang w:val="en-US" w:eastAsia="zh-CN"/>
        </w:rPr>
        <w:t>元，其中基本支出收入7,696,090.14元，</w:t>
      </w:r>
      <w:r>
        <w:rPr>
          <w:rFonts w:hint="eastAsia" w:ascii="仿宋_GB2312" w:hAnsi="仿宋_GB2312" w:eastAsia="仿宋_GB2312" w:cs="仿宋_GB2312"/>
          <w:b w:val="0"/>
          <w:bCs w:val="0"/>
          <w:color w:val="auto"/>
          <w:kern w:val="2"/>
          <w:sz w:val="32"/>
          <w:szCs w:val="32"/>
          <w:highlight w:val="none"/>
          <w:lang w:val="en-US" w:eastAsia="zh-CN" w:bidi="ar-SA"/>
        </w:rPr>
        <w:t>项目支出收入50,101,638.65元；全年支出44,243,032.33万元，</w:t>
      </w:r>
      <w:r>
        <w:rPr>
          <w:rFonts w:hint="eastAsia" w:ascii="仿宋_GB2312" w:hAnsi="仿宋_GB2312" w:eastAsia="仿宋_GB2312" w:cs="仿宋_GB2312"/>
          <w:sz w:val="32"/>
          <w:szCs w:val="32"/>
          <w:lang w:val="en-US" w:eastAsia="zh-CN"/>
        </w:rPr>
        <w:t>其中基本支出7,696,090.14万元，支出率为100%，</w:t>
      </w:r>
      <w:r>
        <w:rPr>
          <w:rFonts w:hint="eastAsia" w:ascii="仿宋_GB2312" w:hAnsi="仿宋_GB2312" w:eastAsia="仿宋_GB2312" w:cs="仿宋_GB2312"/>
          <w:b w:val="0"/>
          <w:bCs w:val="0"/>
          <w:color w:val="auto"/>
          <w:kern w:val="2"/>
          <w:sz w:val="32"/>
          <w:szCs w:val="32"/>
          <w:highlight w:val="none"/>
          <w:lang w:val="en-US" w:eastAsia="zh-CN" w:bidi="ar-SA"/>
        </w:rPr>
        <w:t>项目支出36,546,942.19万元。支出率为72.95%。</w:t>
      </w:r>
    </w:p>
    <w:p w14:paraId="49A0B3FF">
      <w:pPr>
        <w:numPr>
          <w:ilvl w:val="0"/>
          <w:numId w:val="1"/>
        </w:numPr>
        <w:ind w:left="0" w:leftChars="0"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各项指标完成情况分析。</w:t>
      </w:r>
    </w:p>
    <w:p w14:paraId="538FAC45">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（1）部门管理指标完成情况分析</w:t>
      </w:r>
    </w:p>
    <w:p w14:paraId="388D6E57">
      <w:pPr>
        <w:spacing w:line="640" w:lineRule="exact"/>
        <w:ind w:firstLine="640" w:firstLineChars="200"/>
        <w:outlineLvl w:val="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①资金投入：基本支出完成率100%、项目支出预算执行率72.95%，“三公经费”控制率100%，结转结余变动率0%。</w:t>
      </w:r>
    </w:p>
    <w:p w14:paraId="42141F7A">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②财务管理：财务管理制度健全性：健全，资金使用规范性：规范</w:t>
      </w:r>
    </w:p>
    <w:p w14:paraId="5FB637E2">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（2）履职效果完成情况分析</w:t>
      </w:r>
    </w:p>
    <w:p w14:paraId="723FD7D9">
      <w:pPr>
        <w:spacing w:line="640" w:lineRule="exact"/>
        <w:ind w:firstLine="640" w:firstLineChars="200"/>
        <w:outlineLvl w:val="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①部门履职目标：实际完成值85%</w:t>
      </w:r>
    </w:p>
    <w:p w14:paraId="740F13B5">
      <w:pPr>
        <w:spacing w:line="640" w:lineRule="exact"/>
        <w:ind w:firstLine="640" w:firstLineChars="200"/>
        <w:outlineLvl w:val="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②服务对象的满意度：实际完成值90%</w:t>
      </w:r>
    </w:p>
    <w:p w14:paraId="44E2E36B">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③社会影响：违法违纪情况为0</w:t>
      </w:r>
    </w:p>
    <w:p w14:paraId="620DB99A">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（3）能力建设完成情况分析</w:t>
      </w:r>
    </w:p>
    <w:p w14:paraId="20AD2999">
      <w:pPr>
        <w:numPr>
          <w:ilvl w:val="0"/>
          <w:numId w:val="0"/>
        </w:numPr>
        <w:ind w:left="480" w:left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人员培训机制完备性达90%，档案管理健全性达100%。</w:t>
      </w:r>
    </w:p>
    <w:p w14:paraId="310D3AB5">
      <w:pPr>
        <w:numPr>
          <w:ilvl w:val="0"/>
          <w:numId w:val="1"/>
        </w:numPr>
        <w:ind w:left="0" w:leftChars="0"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偏离绩效目标的原因及下一步改进措施</w:t>
      </w:r>
    </w:p>
    <w:p w14:paraId="2CD17AEF">
      <w:pPr>
        <w:numPr>
          <w:ilvl w:val="0"/>
          <w:numId w:val="0"/>
        </w:num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制度保障不足：部分工作流程不完善，缺乏明确的责任分工与监督机制，导致项目推进受阻；经费保障问题：有一部分资金下达时间迟，且资金到位后前期准备工作流程繁琐，财政拨付延迟，影响项目进度；人员保障问题：专业人才短缺，工作人员业务能力有待提高，对新政策、新技术掌握不足。</w:t>
      </w:r>
      <w:r>
        <w:rPr>
          <w:rFonts w:hint="eastAsia" w:ascii="仿宋_GB2312" w:hAnsi="仿宋_GB2312" w:eastAsia="仿宋_GB2312" w:cs="仿宋_GB2312"/>
          <w:sz w:val="32"/>
          <w:szCs w:val="32"/>
        </w:rPr>
        <w:t>下一步将</w:t>
      </w:r>
      <w:r>
        <w:rPr>
          <w:rFonts w:hint="eastAsia" w:ascii="仿宋_GB2312" w:hAnsi="仿宋_GB2312" w:eastAsia="仿宋_GB2312" w:cs="仿宋_GB2312"/>
          <w:sz w:val="32"/>
          <w:szCs w:val="32"/>
          <w:lang w:eastAsia="zh-CN"/>
        </w:rPr>
        <w:t>完善制度体制：健全工作流程，明确各部门职责，加强内部监督，确保各项工作有序开展；优化经费管理：简化资金申请流程，加强与财政部门沟通协调，保障</w:t>
      </w:r>
      <w:r>
        <w:rPr>
          <w:rFonts w:hint="eastAsia" w:ascii="仿宋_GB2312" w:hAnsi="仿宋_GB2312" w:eastAsia="仿宋_GB2312" w:cs="仿宋_GB2312"/>
          <w:sz w:val="32"/>
          <w:szCs w:val="32"/>
        </w:rPr>
        <w:t>项目落实落地</w:t>
      </w:r>
      <w:r>
        <w:rPr>
          <w:rFonts w:hint="eastAsia" w:ascii="仿宋_GB2312" w:hAnsi="仿宋_GB2312" w:eastAsia="仿宋_GB2312" w:cs="仿宋_GB2312"/>
          <w:sz w:val="32"/>
          <w:szCs w:val="32"/>
          <w:lang w:eastAsia="zh-CN"/>
        </w:rPr>
        <w:t>；加强人员队伍建设：定期组织业务培训，提高工作人员综合素质。</w:t>
      </w:r>
      <w:r>
        <w:rPr>
          <w:rFonts w:hint="eastAsia" w:ascii="仿宋_GB2312" w:hAnsi="仿宋_GB2312" w:eastAsia="仿宋_GB2312" w:cs="仿宋_GB2312"/>
          <w:sz w:val="32"/>
          <w:szCs w:val="32"/>
        </w:rPr>
        <w:t xml:space="preserve">   </w:t>
      </w:r>
    </w:p>
    <w:p w14:paraId="3FF76755">
      <w:pPr>
        <w:ind w:firstLine="640" w:firstLineChars="200"/>
        <w:rPr>
          <w:rFonts w:hint="eastAsia" w:ascii="仿宋_GB2312" w:hAnsi="仿宋_GB2312" w:eastAsia="仿宋_GB2312" w:cs="仿宋_GB2312"/>
          <w:sz w:val="32"/>
          <w:szCs w:val="32"/>
          <w:lang w:val="en"/>
        </w:rPr>
      </w:pPr>
      <w:r>
        <w:rPr>
          <w:rFonts w:hint="eastAsia" w:ascii="黑体" w:hAnsi="黑体" w:eastAsia="黑体" w:cs="黑体"/>
          <w:sz w:val="32"/>
          <w:szCs w:val="32"/>
          <w:lang w:val="en"/>
        </w:rPr>
        <w:t>四、部门预算项目支出绩效自评情况分析</w:t>
      </w:r>
      <w:r>
        <w:rPr>
          <w:rFonts w:hint="eastAsia" w:ascii="黑体" w:hAnsi="黑体" w:eastAsia="黑体" w:cs="黑体"/>
          <w:sz w:val="32"/>
          <w:szCs w:val="32"/>
          <w:lang w:val="en"/>
        </w:rPr>
        <w:tab/>
      </w:r>
    </w:p>
    <w:p w14:paraId="69B1772A">
      <w:pPr>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rPr>
        <w:t>年，本部门预算支出项目</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
        </w:rPr>
        <w:t>个，当年财政拨款</w:t>
      </w:r>
      <w:r>
        <w:rPr>
          <w:rFonts w:hint="eastAsia" w:ascii="仿宋_GB2312" w:hAnsi="仿宋_GB2312" w:eastAsia="仿宋_GB2312" w:cs="仿宋_GB2312"/>
          <w:sz w:val="32"/>
          <w:szCs w:val="32"/>
          <w:lang w:val="en-US" w:eastAsia="zh-CN"/>
        </w:rPr>
        <w:t>2791.65</w:t>
      </w:r>
      <w:r>
        <w:rPr>
          <w:rFonts w:hint="eastAsia" w:ascii="仿宋_GB2312" w:hAnsi="仿宋_GB2312" w:eastAsia="仿宋_GB2312" w:cs="仿宋_GB2312"/>
          <w:sz w:val="32"/>
          <w:szCs w:val="32"/>
          <w:lang w:val="en"/>
        </w:rPr>
        <w:t>万元，全年支出</w:t>
      </w:r>
      <w:r>
        <w:rPr>
          <w:rFonts w:hint="eastAsia" w:ascii="仿宋_GB2312" w:hAnsi="仿宋_GB2312" w:eastAsia="仿宋_GB2312" w:cs="仿宋_GB2312"/>
          <w:sz w:val="32"/>
          <w:szCs w:val="32"/>
          <w:lang w:val="en-US" w:eastAsia="zh-CN"/>
        </w:rPr>
        <w:t>1633.71</w:t>
      </w:r>
      <w:r>
        <w:rPr>
          <w:rFonts w:hint="eastAsia" w:ascii="仿宋_GB2312" w:hAnsi="仿宋_GB2312" w:eastAsia="仿宋_GB2312" w:cs="仿宋_GB2312"/>
          <w:sz w:val="32"/>
          <w:szCs w:val="32"/>
          <w:lang w:val="en"/>
        </w:rPr>
        <w:t>元，执行率</w:t>
      </w:r>
      <w:r>
        <w:rPr>
          <w:rFonts w:hint="eastAsia" w:ascii="仿宋_GB2312" w:hAnsi="仿宋_GB2312" w:eastAsia="仿宋_GB2312" w:cs="仿宋_GB2312"/>
          <w:sz w:val="32"/>
          <w:szCs w:val="32"/>
          <w:lang w:val="en-US" w:eastAsia="zh-CN"/>
        </w:rPr>
        <w:t>58.52</w:t>
      </w:r>
      <w:r>
        <w:rPr>
          <w:rFonts w:hint="eastAsia" w:ascii="仿宋_GB2312" w:hAnsi="仿宋_GB2312" w:eastAsia="仿宋_GB2312" w:cs="仿宋_GB2312"/>
          <w:sz w:val="32"/>
          <w:szCs w:val="32"/>
          <w:lang w:val="en"/>
        </w:rPr>
        <w:t>%。通过自评，有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
        </w:rPr>
        <w:t>个项目结果为“优”，</w:t>
      </w:r>
      <w:r>
        <w:rPr>
          <w:rFonts w:hint="eastAsia" w:ascii="仿宋_GB2312" w:hAnsi="仿宋_GB2312" w:eastAsia="仿宋_GB2312" w:cs="仿宋_GB2312"/>
          <w:sz w:val="32"/>
          <w:szCs w:val="32"/>
          <w:lang w:val="en-US" w:eastAsia="zh-CN"/>
        </w:rPr>
        <w:t>1个项目结果为“良”，2</w:t>
      </w:r>
      <w:r>
        <w:rPr>
          <w:rFonts w:hint="eastAsia" w:ascii="仿宋_GB2312" w:hAnsi="仿宋_GB2312" w:eastAsia="仿宋_GB2312" w:cs="仿宋_GB2312"/>
          <w:sz w:val="32"/>
          <w:szCs w:val="32"/>
          <w:lang w:val="en"/>
        </w:rPr>
        <w:t>个项目结果为“</w:t>
      </w:r>
      <w:r>
        <w:rPr>
          <w:rFonts w:hint="eastAsia" w:ascii="仿宋_GB2312" w:hAnsi="仿宋_GB2312" w:eastAsia="仿宋_GB2312" w:cs="仿宋_GB2312"/>
          <w:sz w:val="32"/>
          <w:szCs w:val="32"/>
          <w:lang w:val="en" w:eastAsia="zh-CN"/>
        </w:rPr>
        <w:t>合格</w:t>
      </w:r>
      <w:r>
        <w:rPr>
          <w:rFonts w:hint="eastAsia" w:ascii="仿宋_GB2312" w:hAnsi="仿宋_GB2312" w:eastAsia="仿宋_GB2312" w:cs="仿宋_GB2312"/>
          <w:sz w:val="32"/>
          <w:szCs w:val="32"/>
          <w:lang w:val="en"/>
        </w:rPr>
        <w:t>”。分项目自评情况分析如下：</w:t>
      </w:r>
    </w:p>
    <w:p w14:paraId="36C4E6AB">
      <w:pPr>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rPr>
        <w:t xml:space="preserve">   项目1</w:t>
      </w:r>
      <w:r>
        <w:rPr>
          <w:rFonts w:hint="eastAsia" w:ascii="仿宋_GB2312" w:hAnsi="仿宋_GB2312" w:eastAsia="仿宋_GB2312" w:cs="仿宋_GB2312"/>
          <w:sz w:val="32"/>
          <w:szCs w:val="32"/>
          <w:lang w:val="en" w:eastAsia="zh-CN"/>
        </w:rPr>
        <w:t>、湿地保护修复补助</w:t>
      </w:r>
    </w:p>
    <w:p w14:paraId="017CEC9C">
      <w:pPr>
        <w:ind w:firstLine="64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1.项目支出预算执行情况</w:t>
      </w:r>
    </w:p>
    <w:p w14:paraId="6C530A3C">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（1）项目资金到位情况：2024年省林业和草原局下达管护中心湿地保护修复补助资金1305万元，实际到位资金1305万元，下达率100%。</w:t>
      </w:r>
    </w:p>
    <w:p w14:paraId="202BF86B">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（2）项目资金执行情况分析：湿地保护修复补助资金支出1002.86万元，因第二批资金305万元在2024年年中下达，错过了最佳施工期，只完成了项目招投标工作，将在2025年继续实施。</w:t>
      </w:r>
    </w:p>
    <w:p w14:paraId="20E9D04D">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2.各项指标完成情况</w:t>
      </w:r>
    </w:p>
    <w:p w14:paraId="715310CE">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（1）全年产出指标完成情况分析</w:t>
      </w:r>
    </w:p>
    <w:p w14:paraId="21E792AF">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①数量指标：完成退化湿地植被恢复工程14800亩、湿地有害生物防治9800亩</w:t>
      </w:r>
    </w:p>
    <w:p w14:paraId="3C139BDC">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②质量指标：确保退化草原修复合格率</w:t>
      </w:r>
    </w:p>
    <w:p w14:paraId="11EC0D9D">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③时效指标：退化草原、植被修复及时性，支出完成率达到92%年初绩效目标</w:t>
      </w:r>
    </w:p>
    <w:p w14:paraId="3E4CF81C">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（2）效益指标完成情况分析</w:t>
      </w:r>
    </w:p>
    <w:p w14:paraId="77B6A970">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①社会效益：社会公众对国际重要湿地认知度明显增强、保护区重点保护野生动植物人为破坏事件发生数为0</w:t>
      </w:r>
    </w:p>
    <w:p w14:paraId="60E2B5FA">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②生态效益：生态系统和生物多样性得到保护、保护区生态系统完整率增加</w:t>
      </w:r>
    </w:p>
    <w:p w14:paraId="7CEEA8E6">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③可持续影响：森林、草原、湿地、荒漠生态系统功能改善可持续影响</w:t>
      </w:r>
    </w:p>
    <w:p w14:paraId="73C87F79">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（3）满意度指标完成情况分析</w:t>
      </w:r>
    </w:p>
    <w:p w14:paraId="6FBAF399">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资源管护效果好、职工待遇逐步提高，林区职工，周边群众满意度较高。</w:t>
      </w:r>
    </w:p>
    <w:p w14:paraId="764D5937">
      <w:pPr>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rPr>
        <w:t>项目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eastAsia="zh-CN"/>
        </w:rPr>
        <w:t>森林资源管护</w:t>
      </w:r>
    </w:p>
    <w:p w14:paraId="411B2F8F">
      <w:pPr>
        <w:ind w:firstLine="64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1.项目支出预算执行情况</w:t>
      </w:r>
    </w:p>
    <w:p w14:paraId="65C1712B">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（1）项目资金到位情况：2024年省林业和草原局下达管护中心森林资源管护资金472万元，实际到位资金472万元，下达率100%。</w:t>
      </w:r>
    </w:p>
    <w:p w14:paraId="2C42CA59">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（2）项目资金执行情况分析：森林资源管护资金支出405.46万元，支出率85.90%。</w:t>
      </w:r>
    </w:p>
    <w:p w14:paraId="208788C3">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2.各项指标完成情况</w:t>
      </w:r>
    </w:p>
    <w:p w14:paraId="2FCE36D6">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（1）全年产出指标完成情况分析</w:t>
      </w:r>
    </w:p>
    <w:p w14:paraId="26A55D61">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①数量指标：保障了全中心天保公益林人员全年劳务费的按时足额发放</w:t>
      </w:r>
    </w:p>
    <w:p w14:paraId="3EDDDF05">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②质量指标：全面保障职工工资福利足额发放到位</w:t>
      </w:r>
    </w:p>
    <w:p w14:paraId="3893F48F">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③时效指标：支出完成率为90%，达到92%年初绩效目标</w:t>
      </w:r>
    </w:p>
    <w:p w14:paraId="63BF893A">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（2）效益指标完成情况分析</w:t>
      </w:r>
    </w:p>
    <w:p w14:paraId="2A10F82F">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①社会效益：资源管护率达到100%绩效目标</w:t>
      </w:r>
    </w:p>
    <w:p w14:paraId="389D8BE0">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②生态效益：通过专项资金支出，有效保障了基层管护站点管护经费和管护人员工资发放，提高了管护人员履职能力，区内森林资源管护效果显著</w:t>
      </w:r>
    </w:p>
    <w:p w14:paraId="1ACB45F8">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③可持续影响：能有效维护林区稳定、保障经济可持续发展，持续发挥生态保护作用显著</w:t>
      </w:r>
    </w:p>
    <w:p w14:paraId="2D487049">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（3）满意度指标完成情况分析</w:t>
      </w:r>
    </w:p>
    <w:p w14:paraId="73724FB5">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资源管护效果好、职工待遇逐步提高，管护中心天然林保护工程管护员满意度较高</w:t>
      </w:r>
    </w:p>
    <w:p w14:paraId="1FBDE1CE">
      <w:pPr>
        <w:spacing w:line="640" w:lineRule="exact"/>
        <w:outlineLvl w:val="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项目3、天保工程管护（社会保险补助）资金</w:t>
      </w:r>
    </w:p>
    <w:p w14:paraId="03DE05DC">
      <w:pPr>
        <w:spacing w:line="640" w:lineRule="exact"/>
        <w:ind w:firstLine="640" w:firstLineChars="200"/>
        <w:outlineLvl w:val="0"/>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1.项目支出预算执行情况</w:t>
      </w:r>
    </w:p>
    <w:p w14:paraId="2A85752A">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（1）项目资金到位情况：2024年省林业和草原局下达管护中心天保工程管护（社会保险补助）资金64.4万元，实际到位资金64.4万元，资金到位率为100%。</w:t>
      </w:r>
    </w:p>
    <w:p w14:paraId="1E193F99">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（2）项目资金执行情况分析：2024年天保工程管护（社会保险补助）资金64.4万元，因2023年度结转资金较大，2024年优先使用了结转资金，故2024年资金未能及时完成支付，将在2025年继续实施。</w:t>
      </w:r>
    </w:p>
    <w:p w14:paraId="7B481779">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2.各项指标完成情况</w:t>
      </w:r>
    </w:p>
    <w:p w14:paraId="2D13EEF9">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（1）全年产出指标完成情况分析</w:t>
      </w:r>
    </w:p>
    <w:p w14:paraId="45C28DE3">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①数量指标：保障了全中心天保公益林人员全年社会保险费的按时足额缴纳</w:t>
      </w:r>
    </w:p>
    <w:p w14:paraId="5DB4161F">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②质量指标：职工社会保险参保率达到100%，全面保障职工政策性工资福利足额发放到位</w:t>
      </w:r>
    </w:p>
    <w:p w14:paraId="22C4B72F">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③时效指标：支出完成率为100%，达到100%年初绩效目标</w:t>
      </w:r>
    </w:p>
    <w:p w14:paraId="33591937">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（2）效益指标完成情况分析</w:t>
      </w:r>
    </w:p>
    <w:p w14:paraId="3DE23FCB">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①社会效益：资源管护率达到100%绩效目标</w:t>
      </w:r>
    </w:p>
    <w:p w14:paraId="6AD82843">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②生态效益：通过专项资金支出，有效保障了基层管护站点管护经费和管护人员工资发放，提高了管护人员履职能力，区内森林资源管护效果显著</w:t>
      </w:r>
    </w:p>
    <w:p w14:paraId="01F3C12D">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③可持续影响：能有效维护林区稳定、保障经济可持续发展，持续发挥生态保护作用显著</w:t>
      </w:r>
    </w:p>
    <w:p w14:paraId="260A505E">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（3）满意度指标完成情况分析</w:t>
      </w:r>
    </w:p>
    <w:p w14:paraId="43015BE7">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资源管护效果好、职工待遇逐步提高，管护中心天然林保护工程管护员满意度较高。</w:t>
      </w:r>
    </w:p>
    <w:p w14:paraId="162A33D4">
      <w:pPr>
        <w:spacing w:line="640" w:lineRule="exact"/>
        <w:outlineLvl w:val="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项目4、湿地保护恢复资金（省级）</w:t>
      </w:r>
    </w:p>
    <w:p w14:paraId="2A49C77F">
      <w:pPr>
        <w:spacing w:line="640" w:lineRule="exact"/>
        <w:ind w:firstLine="640" w:firstLineChars="200"/>
        <w:outlineLvl w:val="0"/>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1.项目支出预算执行情况</w:t>
      </w:r>
    </w:p>
    <w:p w14:paraId="37CF4EFD">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（1）项目资金到位情况：2024年省林业和草原局下达管护中心湿地保护项目资金20万元，实际到位资20万元，资金到位率为100%。</w:t>
      </w:r>
    </w:p>
    <w:p w14:paraId="798E256F">
      <w:pPr>
        <w:spacing w:line="640" w:lineRule="exact"/>
        <w:ind w:firstLine="640" w:firstLineChars="200"/>
        <w:outlineLvl w:val="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项目资金执行情况分析：</w:t>
      </w:r>
      <w:r>
        <w:rPr>
          <w:rFonts w:hint="eastAsia" w:ascii="仿宋_GB2312" w:hAnsi="仿宋_GB2312" w:eastAsia="仿宋_GB2312" w:cs="仿宋_GB2312"/>
          <w:color w:val="auto"/>
          <w:kern w:val="0"/>
          <w:sz w:val="32"/>
          <w:szCs w:val="32"/>
          <w:highlight w:val="none"/>
          <w:lang w:val="en-US" w:eastAsia="zh-CN"/>
        </w:rPr>
        <w:t>已全部完成支付，</w:t>
      </w:r>
      <w:r>
        <w:rPr>
          <w:rFonts w:hint="eastAsia" w:ascii="仿宋_GB2312" w:hAnsi="仿宋_GB2312" w:eastAsia="仿宋_GB2312" w:cs="仿宋_GB2312"/>
          <w:sz w:val="32"/>
          <w:szCs w:val="32"/>
        </w:rPr>
        <w:t>支出率10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highlight w:val="none"/>
          <w:lang w:val="en-US" w:eastAsia="zh-CN"/>
        </w:rPr>
        <w:t>。</w:t>
      </w:r>
    </w:p>
    <w:p w14:paraId="0E748D7D">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2.各项指标完成情况</w:t>
      </w:r>
    </w:p>
    <w:p w14:paraId="02DBF422">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（1）全年产出指标完成情况分析</w:t>
      </w:r>
    </w:p>
    <w:p w14:paraId="00C043AE">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①数量指标：购置野生动物追踪器、巡护装备、便携式工作台</w:t>
      </w:r>
    </w:p>
    <w:p w14:paraId="02E08E4C">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②时效指标：购置巡护装备及时性</w:t>
      </w:r>
    </w:p>
    <w:p w14:paraId="42733CFD">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（2）效益指标完成情况分析</w:t>
      </w:r>
    </w:p>
    <w:p w14:paraId="3864095B">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①经济效益：资金利用率</w:t>
      </w:r>
    </w:p>
    <w:p w14:paraId="18BC3FD0">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②生态效益：保护区生态系统完整率</w:t>
      </w:r>
    </w:p>
    <w:p w14:paraId="5A406E7C">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③社会效益：保护区重点保护野生动植物人为破坏事件发生数</w:t>
      </w:r>
    </w:p>
    <w:p w14:paraId="7B8C33AB">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（3）满意度指标完成情况分析</w:t>
      </w:r>
    </w:p>
    <w:p w14:paraId="76F44203">
      <w:pPr>
        <w:spacing w:line="640" w:lineRule="exact"/>
        <w:ind w:firstLine="640" w:firstLineChars="200"/>
        <w:outlineLvl w:val="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管护中心湿地保护工程管护员满意度较高。</w:t>
      </w:r>
    </w:p>
    <w:p w14:paraId="1251CA92">
      <w:pPr>
        <w:spacing w:line="640" w:lineRule="exact"/>
        <w:outlineLvl w:val="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项目5、林业草原行业管理费项目资金</w:t>
      </w:r>
    </w:p>
    <w:p w14:paraId="23B7AE10">
      <w:pPr>
        <w:spacing w:line="640" w:lineRule="exact"/>
        <w:ind w:firstLine="640" w:firstLineChars="200"/>
        <w:outlineLvl w:val="0"/>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1.项目支出预算执行情况</w:t>
      </w:r>
    </w:p>
    <w:p w14:paraId="51459177">
      <w:pPr>
        <w:spacing w:line="640" w:lineRule="exact"/>
        <w:ind w:firstLine="640" w:firstLineChars="200"/>
        <w:outlineLvl w:val="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（1）项目资金到位情况：2024年省林业和草原局下达管护中心</w:t>
      </w:r>
      <w:r>
        <w:rPr>
          <w:rFonts w:hint="eastAsia" w:ascii="仿宋_GB2312" w:hAnsi="仿宋_GB2312" w:eastAsia="仿宋_GB2312" w:cs="仿宋_GB2312"/>
          <w:b w:val="0"/>
          <w:bCs w:val="0"/>
          <w:color w:val="auto"/>
          <w:sz w:val="32"/>
          <w:szCs w:val="32"/>
          <w:highlight w:val="none"/>
          <w:lang w:val="en-US" w:eastAsia="zh-CN"/>
        </w:rPr>
        <w:t>林政执法工作经费</w:t>
      </w:r>
      <w:r>
        <w:rPr>
          <w:rFonts w:hint="eastAsia" w:ascii="仿宋_GB2312" w:hAnsi="仿宋_GB2312" w:eastAsia="仿宋_GB2312" w:cs="仿宋_GB2312"/>
          <w:color w:val="auto"/>
          <w:sz w:val="32"/>
          <w:szCs w:val="32"/>
          <w:highlight w:val="none"/>
          <w:lang w:val="en-US" w:eastAsia="zh-CN"/>
        </w:rPr>
        <w:t>6万元，实际到位资金6万元，资金到位率为100%；非税收入30万元，实际到位30万元，资金到位率100%。</w:t>
      </w:r>
    </w:p>
    <w:p w14:paraId="44941ADE">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（2）项目资金执行情况分析：2024年</w:t>
      </w:r>
      <w:r>
        <w:rPr>
          <w:rFonts w:hint="eastAsia" w:ascii="仿宋_GB2312" w:hAnsi="仿宋_GB2312" w:eastAsia="仿宋_GB2312" w:cs="仿宋_GB2312"/>
          <w:b w:val="0"/>
          <w:bCs w:val="0"/>
          <w:color w:val="auto"/>
          <w:sz w:val="32"/>
          <w:szCs w:val="32"/>
          <w:highlight w:val="none"/>
          <w:lang w:val="en-US" w:eastAsia="zh-CN"/>
        </w:rPr>
        <w:t>林政执法工作经费</w:t>
      </w:r>
      <w:r>
        <w:rPr>
          <w:rFonts w:hint="eastAsia" w:ascii="仿宋_GB2312" w:hAnsi="仿宋_GB2312" w:eastAsia="仿宋_GB2312" w:cs="仿宋_GB2312"/>
          <w:color w:val="auto"/>
          <w:sz w:val="32"/>
          <w:szCs w:val="32"/>
          <w:highlight w:val="none"/>
          <w:lang w:val="en-US" w:eastAsia="zh-CN"/>
        </w:rPr>
        <w:t>全年预算资金6万元，支出6万元，支出率100%；非税收入去年预算资金30万元，支出30万元，支出率100%。</w:t>
      </w:r>
    </w:p>
    <w:p w14:paraId="5EAAE5AB">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2.各项指标完成情况</w:t>
      </w:r>
    </w:p>
    <w:p w14:paraId="50B4E0CD">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（1）全年产出指标完成情况分析</w:t>
      </w:r>
    </w:p>
    <w:p w14:paraId="481FC8FB">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①数量指标：林政执法督查人次</w:t>
      </w:r>
    </w:p>
    <w:p w14:paraId="1F556129">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②质量指标：全区内林政执法宣传覆盖率</w:t>
      </w:r>
    </w:p>
    <w:p w14:paraId="3B385901">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（2）效益指标完成情况分析</w:t>
      </w:r>
    </w:p>
    <w:p w14:paraId="687C4D75">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①社会效益：林草行政案件办结率、林政执法人员管辖面积</w:t>
      </w:r>
    </w:p>
    <w:p w14:paraId="409A982F">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②生态效益：林政执法案件发生率</w:t>
      </w:r>
    </w:p>
    <w:p w14:paraId="223B0CE0">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（3）满意度指标完成情况分析</w:t>
      </w:r>
    </w:p>
    <w:p w14:paraId="4342D8CD">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管护中心林政执法工作经费项目中林草工作人员满意度较高。</w:t>
      </w:r>
    </w:p>
    <w:p w14:paraId="7BB96D72">
      <w:pPr>
        <w:numPr>
          <w:ilvl w:val="0"/>
          <w:numId w:val="0"/>
        </w:numPr>
        <w:spacing w:line="640" w:lineRule="exact"/>
        <w:outlineLvl w:val="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项目6、林草生态综合监测资金</w:t>
      </w:r>
    </w:p>
    <w:p w14:paraId="0298298B">
      <w:pPr>
        <w:spacing w:line="640" w:lineRule="exact"/>
        <w:ind w:firstLine="640" w:firstLineChars="200"/>
        <w:outlineLvl w:val="0"/>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1.项目支出预算执行情况</w:t>
      </w:r>
    </w:p>
    <w:p w14:paraId="11011F12">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（1）项目资金到位情况：2024年省林业和草原局下达管护中心</w:t>
      </w:r>
      <w:r>
        <w:rPr>
          <w:rFonts w:hint="eastAsia" w:ascii="仿宋_GB2312" w:hAnsi="仿宋_GB2312" w:eastAsia="仿宋_GB2312" w:cs="仿宋_GB2312"/>
          <w:b w:val="0"/>
          <w:bCs w:val="0"/>
          <w:color w:val="auto"/>
          <w:sz w:val="32"/>
          <w:szCs w:val="32"/>
          <w:highlight w:val="none"/>
          <w:lang w:val="en-US" w:eastAsia="zh-CN"/>
        </w:rPr>
        <w:t>林草生态综合监测</w:t>
      </w:r>
      <w:r>
        <w:rPr>
          <w:rFonts w:hint="eastAsia" w:ascii="仿宋_GB2312" w:hAnsi="仿宋_GB2312" w:eastAsia="仿宋_GB2312" w:cs="仿宋_GB2312"/>
          <w:color w:val="auto"/>
          <w:sz w:val="32"/>
          <w:szCs w:val="32"/>
          <w:highlight w:val="none"/>
          <w:lang w:val="en-US" w:eastAsia="zh-CN"/>
        </w:rPr>
        <w:t>项目资金17.1万元，实际到位资金17.1万元，资金到位率为100%。</w:t>
      </w:r>
    </w:p>
    <w:p w14:paraId="3323A946">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（2）项目资金执行情况分析：2024年</w:t>
      </w:r>
      <w:r>
        <w:rPr>
          <w:rFonts w:hint="eastAsia" w:ascii="仿宋_GB2312" w:hAnsi="仿宋_GB2312" w:eastAsia="仿宋_GB2312" w:cs="仿宋_GB2312"/>
          <w:b w:val="0"/>
          <w:bCs w:val="0"/>
          <w:color w:val="auto"/>
          <w:sz w:val="32"/>
          <w:szCs w:val="32"/>
          <w:highlight w:val="none"/>
          <w:lang w:val="en-US" w:eastAsia="zh-CN"/>
        </w:rPr>
        <w:t>林草生态综合监测</w:t>
      </w:r>
      <w:r>
        <w:rPr>
          <w:rFonts w:hint="eastAsia" w:ascii="仿宋_GB2312" w:hAnsi="仿宋_GB2312" w:eastAsia="仿宋_GB2312" w:cs="仿宋_GB2312"/>
          <w:color w:val="auto"/>
          <w:sz w:val="32"/>
          <w:szCs w:val="32"/>
          <w:highlight w:val="none"/>
          <w:lang w:val="en-US" w:eastAsia="zh-CN"/>
        </w:rPr>
        <w:t>项目全年预算资金17.1万元，支出17.1万元，支出率100%。</w:t>
      </w:r>
    </w:p>
    <w:p w14:paraId="31C9B6BD">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2.各项指标完成情况</w:t>
      </w:r>
    </w:p>
    <w:p w14:paraId="6D132582">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（1）全年产出指标完成情况分析</w:t>
      </w:r>
    </w:p>
    <w:p w14:paraId="787FFE71">
      <w:pPr>
        <w:spacing w:line="640" w:lineRule="exact"/>
        <w:ind w:firstLine="640" w:firstLineChars="200"/>
        <w:outlineLvl w:val="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①数量指标：草原样地30个、森林样地9个、湿地样地6个</w:t>
      </w:r>
    </w:p>
    <w:p w14:paraId="34BB6C7B">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②时效指标：项目当期完成率、样地调查及时性</w:t>
      </w:r>
    </w:p>
    <w:p w14:paraId="7EDC1048">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（2）效益指标完成情况分析</w:t>
      </w:r>
    </w:p>
    <w:p w14:paraId="55F171FC">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①经济效益：林草湿调查软件应用率</w:t>
      </w:r>
    </w:p>
    <w:p w14:paraId="327BE576">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②生态效益：综合监测样地监测能力提升</w:t>
      </w:r>
    </w:p>
    <w:p w14:paraId="656D4760">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③社会效益：单位人员工作效率提升性</w:t>
      </w:r>
    </w:p>
    <w:p w14:paraId="7D03584E">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（3）满意度指标完成情况分析</w:t>
      </w:r>
    </w:p>
    <w:p w14:paraId="22BDA683">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管护中心管护员满意度较高。</w:t>
      </w:r>
    </w:p>
    <w:p w14:paraId="04B27EE8">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项目7、</w:t>
      </w:r>
      <w:r>
        <w:rPr>
          <w:rFonts w:hint="eastAsia" w:ascii="仿宋_GB2312" w:hAnsi="仿宋_GB2312" w:eastAsia="仿宋_GB2312" w:cs="仿宋_GB2312"/>
          <w:color w:val="auto"/>
          <w:sz w:val="32"/>
          <w:szCs w:val="32"/>
          <w:highlight w:val="none"/>
          <w:lang w:val="en-US" w:eastAsia="zh-CN"/>
        </w:rPr>
        <w:t>林区禁种铲毒项目</w:t>
      </w:r>
    </w:p>
    <w:p w14:paraId="696A4E02">
      <w:pPr>
        <w:spacing w:line="640" w:lineRule="exact"/>
        <w:ind w:firstLine="640" w:firstLineChars="200"/>
        <w:outlineLvl w:val="0"/>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1.项目支出预算执行情况</w:t>
      </w:r>
    </w:p>
    <w:p w14:paraId="47A594B0">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（1）项目资金到位情况：2024年省林业和草原局下达管护中心</w:t>
      </w:r>
      <w:r>
        <w:rPr>
          <w:rFonts w:hint="eastAsia" w:ascii="仿宋_GB2312" w:hAnsi="仿宋_GB2312" w:eastAsia="仿宋_GB2312" w:cs="仿宋_GB2312"/>
          <w:b w:val="0"/>
          <w:bCs w:val="0"/>
          <w:color w:val="auto"/>
          <w:sz w:val="32"/>
          <w:szCs w:val="32"/>
          <w:highlight w:val="none"/>
          <w:lang w:val="en-US" w:eastAsia="zh-CN"/>
        </w:rPr>
        <w:t>林区禁毒铲毒</w:t>
      </w:r>
      <w:r>
        <w:rPr>
          <w:rFonts w:hint="eastAsia" w:ascii="仿宋_GB2312" w:hAnsi="仿宋_GB2312" w:eastAsia="仿宋_GB2312" w:cs="仿宋_GB2312"/>
          <w:color w:val="auto"/>
          <w:sz w:val="32"/>
          <w:szCs w:val="32"/>
          <w:highlight w:val="none"/>
          <w:lang w:val="en-US" w:eastAsia="zh-CN"/>
        </w:rPr>
        <w:t>项目资金10万元，实际到位资金10万元，资金到位率为100%。</w:t>
      </w:r>
    </w:p>
    <w:p w14:paraId="77DC5ABA">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（2）项目资金执行情况分析：2024年</w:t>
      </w:r>
      <w:r>
        <w:rPr>
          <w:rFonts w:hint="eastAsia" w:ascii="仿宋_GB2312" w:hAnsi="仿宋_GB2312" w:eastAsia="仿宋_GB2312" w:cs="仿宋_GB2312"/>
          <w:b w:val="0"/>
          <w:bCs w:val="0"/>
          <w:color w:val="auto"/>
          <w:sz w:val="32"/>
          <w:szCs w:val="32"/>
          <w:highlight w:val="none"/>
          <w:lang w:val="en-US" w:eastAsia="zh-CN"/>
        </w:rPr>
        <w:t>林区禁毒铲毒</w:t>
      </w:r>
      <w:r>
        <w:rPr>
          <w:rFonts w:hint="eastAsia" w:ascii="仿宋_GB2312" w:hAnsi="仿宋_GB2312" w:eastAsia="仿宋_GB2312" w:cs="仿宋_GB2312"/>
          <w:color w:val="auto"/>
          <w:sz w:val="32"/>
          <w:szCs w:val="32"/>
          <w:highlight w:val="none"/>
          <w:lang w:val="en-US" w:eastAsia="zh-CN"/>
        </w:rPr>
        <w:t>项目全年预算资金10万元，支出10万元，支出率100%。</w:t>
      </w:r>
    </w:p>
    <w:p w14:paraId="6A91F9ED">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2.各项指标完成情况</w:t>
      </w:r>
    </w:p>
    <w:p w14:paraId="172A9F74">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（1）全年产出指标完成情况分析</w:t>
      </w:r>
    </w:p>
    <w:p w14:paraId="75064A96">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①数量指标：林区禁种铲毒踏查面积、林区禁种铲毒宣传次数、</w:t>
      </w:r>
    </w:p>
    <w:p w14:paraId="5526D566">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②质量指标：林区禁种铲毒踏查覆盖率、设备采购率</w:t>
      </w:r>
    </w:p>
    <w:p w14:paraId="6BD513C3">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③时效指标：开展禁种铲毒踏查及时性、项目当期完成率</w:t>
      </w:r>
    </w:p>
    <w:p w14:paraId="7E6ED2CB">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（2）效益指标完成情况分析</w:t>
      </w:r>
    </w:p>
    <w:p w14:paraId="1727F475">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①社会效益：群众对毒品危害社会知晓度、群众对林区禁种铲毒的参与度</w:t>
      </w:r>
    </w:p>
    <w:p w14:paraId="23298210">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②生态效益：毒品原植物种植</w:t>
      </w:r>
    </w:p>
    <w:p w14:paraId="1A8E9584">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（3）满意度指标完成情况分析</w:t>
      </w:r>
    </w:p>
    <w:p w14:paraId="651B772B">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项目涉及群众及管护中心职工满意度较高。</w:t>
      </w:r>
    </w:p>
    <w:p w14:paraId="14E2C313">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项目8、</w:t>
      </w:r>
      <w:r>
        <w:rPr>
          <w:rFonts w:hint="eastAsia" w:ascii="仿宋_GB2312" w:hAnsi="仿宋_GB2312" w:eastAsia="仿宋_GB2312" w:cs="仿宋_GB2312"/>
          <w:color w:val="auto"/>
          <w:sz w:val="32"/>
          <w:szCs w:val="32"/>
          <w:highlight w:val="none"/>
          <w:lang w:val="en-US" w:eastAsia="zh-CN"/>
        </w:rPr>
        <w:t>中央基建投资甘南黄河上游水源涵养与生态保护修复资金</w:t>
      </w:r>
    </w:p>
    <w:p w14:paraId="52B977EC">
      <w:pPr>
        <w:spacing w:line="640" w:lineRule="exact"/>
        <w:ind w:firstLine="640" w:firstLineChars="200"/>
        <w:outlineLvl w:val="0"/>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1.项目支出预算执行情况</w:t>
      </w:r>
    </w:p>
    <w:p w14:paraId="4792D1D7">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（1）项目资金到位情况：2024年省发改委和省林业和草原局下达管护中心中央基建投资甘南黄河上游水源涵养与生态保护修复资金项目资金804万元，实际到位资金804万元，资金到位率为100%。</w:t>
      </w:r>
    </w:p>
    <w:p w14:paraId="396C52B3">
      <w:pPr>
        <w:spacing w:line="640" w:lineRule="exact"/>
        <w:ind w:firstLine="640" w:firstLineChars="200"/>
        <w:outlineLvl w:val="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资金执行情况分析：2024年中央基建投资甘南黄河上游水源涵养与生态保护修复资金全年预算804万元，支出76.21万元，因项目资金在2024年年中下达，错过了最佳施工期，现已完成了项目招投标工作，将在2025年继续实施。</w:t>
      </w:r>
    </w:p>
    <w:p w14:paraId="75E58C84">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2.各项指标完成情况</w:t>
      </w:r>
    </w:p>
    <w:p w14:paraId="37DF39E9">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（1）全年产出指标完成情况分析</w:t>
      </w:r>
    </w:p>
    <w:p w14:paraId="70965830">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①数量指标：湿地植被修复面积44900亩</w:t>
      </w:r>
    </w:p>
    <w:p w14:paraId="70517C32">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②质量指标：项目验收合格率</w:t>
      </w:r>
    </w:p>
    <w:p w14:paraId="3E9F7F39">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③时效指标：项目实施期28个月、项目如期完成率</w:t>
      </w:r>
    </w:p>
    <w:p w14:paraId="2AC3FE98">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（2）效益指标完成情况分析</w:t>
      </w:r>
    </w:p>
    <w:p w14:paraId="0CAFE1DF">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①社会效益：社会公众对重要湿地的认知度、生态系统完整性</w:t>
      </w:r>
    </w:p>
    <w:p w14:paraId="631E6C06">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②生态效益：生态系统和生物多样性得到有效保护、湿地生态效益发挥明显</w:t>
      </w:r>
    </w:p>
    <w:p w14:paraId="56408060">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③可持续影响：持续发挥生态作用明显、湿地管护社会稳定</w:t>
      </w:r>
    </w:p>
    <w:p w14:paraId="43A03B09">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（3）满意度指标完成情况分析</w:t>
      </w:r>
    </w:p>
    <w:p w14:paraId="5CBF549A">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辖区群众满意度较高。</w:t>
      </w:r>
    </w:p>
    <w:p w14:paraId="0AE017FF">
      <w:pPr>
        <w:numPr>
          <w:ilvl w:val="0"/>
          <w:numId w:val="0"/>
        </w:numPr>
        <w:spacing w:line="640" w:lineRule="exact"/>
        <w:ind w:firstLine="640" w:firstLineChars="200"/>
        <w:outlineLvl w:val="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项目9、农业保险保费资金</w:t>
      </w:r>
    </w:p>
    <w:p w14:paraId="6E006B0F">
      <w:pPr>
        <w:spacing w:line="640" w:lineRule="exact"/>
        <w:ind w:firstLine="640" w:firstLineChars="200"/>
        <w:outlineLvl w:val="0"/>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1.项目支出预算执行情况</w:t>
      </w:r>
    </w:p>
    <w:p w14:paraId="6BF16533">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（1）项目资金到位情况：2024年省林业和草原局下达管护中心</w:t>
      </w:r>
      <w:r>
        <w:rPr>
          <w:rFonts w:hint="eastAsia" w:ascii="仿宋_GB2312" w:hAnsi="仿宋_GB2312" w:eastAsia="仿宋_GB2312" w:cs="仿宋_GB2312"/>
          <w:b w:val="0"/>
          <w:bCs w:val="0"/>
          <w:color w:val="auto"/>
          <w:sz w:val="32"/>
          <w:szCs w:val="32"/>
          <w:highlight w:val="none"/>
          <w:lang w:val="en-US" w:eastAsia="zh-CN"/>
        </w:rPr>
        <w:t>农业保险保费</w:t>
      </w:r>
      <w:r>
        <w:rPr>
          <w:rFonts w:hint="eastAsia" w:ascii="仿宋_GB2312" w:hAnsi="仿宋_GB2312" w:eastAsia="仿宋_GB2312" w:cs="仿宋_GB2312"/>
          <w:color w:val="auto"/>
          <w:sz w:val="32"/>
          <w:szCs w:val="32"/>
          <w:highlight w:val="none"/>
          <w:lang w:val="en-US" w:eastAsia="zh-CN"/>
        </w:rPr>
        <w:t>资金63.15万元，实际到位资金63.15万元，资金到位率为100%。</w:t>
      </w:r>
    </w:p>
    <w:p w14:paraId="144B4D1A">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（2）项目资金执行情况分析：2023年</w:t>
      </w:r>
      <w:r>
        <w:rPr>
          <w:rFonts w:hint="eastAsia" w:ascii="仿宋_GB2312" w:hAnsi="仿宋_GB2312" w:eastAsia="仿宋_GB2312" w:cs="仿宋_GB2312"/>
          <w:b w:val="0"/>
          <w:bCs w:val="0"/>
          <w:color w:val="auto"/>
          <w:sz w:val="32"/>
          <w:szCs w:val="32"/>
          <w:highlight w:val="none"/>
          <w:lang w:val="en-US" w:eastAsia="zh-CN"/>
        </w:rPr>
        <w:t>农业保险保费</w:t>
      </w:r>
      <w:r>
        <w:rPr>
          <w:rFonts w:hint="eastAsia" w:ascii="仿宋_GB2312" w:hAnsi="仿宋_GB2312" w:eastAsia="仿宋_GB2312" w:cs="仿宋_GB2312"/>
          <w:color w:val="auto"/>
          <w:sz w:val="32"/>
          <w:szCs w:val="32"/>
          <w:highlight w:val="none"/>
          <w:lang w:val="en-US" w:eastAsia="zh-CN"/>
        </w:rPr>
        <w:t>全年预算资金63.15万元，支出62.66万元，因第二批资金0.15万元于2024年年底下达，暂未形成支付，支出率99.22%。</w:t>
      </w:r>
    </w:p>
    <w:p w14:paraId="577B97C2">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各项指标完成情况</w:t>
      </w:r>
    </w:p>
    <w:p w14:paraId="72FDFC20">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（1）全年产出指标完成情况分析</w:t>
      </w:r>
    </w:p>
    <w:p w14:paraId="6B6F0F06">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①数量指标：已完成保险保费缴纳工作</w:t>
      </w:r>
    </w:p>
    <w:p w14:paraId="0A5B8BAB">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②时效指标：按计划完成工作任务</w:t>
      </w:r>
    </w:p>
    <w:p w14:paraId="2A80735E">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（2）效益指标完成情况分析</w:t>
      </w:r>
    </w:p>
    <w:p w14:paraId="7B38BE67">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①经济效益：资金利用率</w:t>
      </w:r>
    </w:p>
    <w:p w14:paraId="4AD1EBE0">
      <w:pPr>
        <w:spacing w:line="640" w:lineRule="exact"/>
        <w:ind w:left="638" w:leftChars="304" w:firstLine="0" w:firstLineChars="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②社会效益：单位人员工作效率提升性</w:t>
      </w:r>
    </w:p>
    <w:p w14:paraId="507A3CB6">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（3）满意度指标完成情况分析</w:t>
      </w:r>
    </w:p>
    <w:p w14:paraId="5299CA1F">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管护中心管护员满意度较高</w:t>
      </w:r>
    </w:p>
    <w:p w14:paraId="40D2E749">
      <w:pPr>
        <w:numPr>
          <w:ilvl w:val="0"/>
          <w:numId w:val="0"/>
        </w:numPr>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rPr>
        <w:t>偏离绩效目标的原因及下一步改进措施</w:t>
      </w:r>
    </w:p>
    <w:p w14:paraId="33598EB8">
      <w:pPr>
        <w:spacing w:line="64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未完成原因：通过对以上项目的绩效自评，未完成项目的原因是部分资金接近年底下达，故本年度无法实施、部分项目批复较晚，错过施工期。</w:t>
      </w:r>
    </w:p>
    <w:p w14:paraId="2B35C91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color w:val="auto"/>
          <w:sz w:val="32"/>
          <w:szCs w:val="32"/>
          <w:highlight w:val="none"/>
          <w:lang w:val="en-US" w:eastAsia="zh-CN"/>
        </w:rPr>
        <w:t xml:space="preserve">    下一步改进措施：要进一步加强项目协调，从项目谋划、批复、招投标、施工、监督、验收等每个环节加强管理和跟进，按规定及时合理支付，减少资金存量；同时对每个项目进行科学评估，确保项目建设夯实保护区基础，充分体现出生态体系评价、社会效益。</w:t>
      </w:r>
    </w:p>
    <w:p w14:paraId="04EAF3B3">
      <w:pPr>
        <w:numPr>
          <w:ilvl w:val="0"/>
          <w:numId w:val="2"/>
        </w:numPr>
        <w:ind w:left="640" w:leftChars="0" w:firstLine="0" w:firstLineChars="0"/>
        <w:rPr>
          <w:rFonts w:hint="eastAsia" w:ascii="黑体" w:hAnsi="黑体" w:eastAsia="黑体" w:cs="黑体"/>
          <w:sz w:val="32"/>
          <w:szCs w:val="32"/>
          <w:lang w:val="en"/>
        </w:rPr>
      </w:pPr>
      <w:r>
        <w:rPr>
          <w:rFonts w:hint="eastAsia" w:ascii="黑体" w:hAnsi="黑体" w:eastAsia="黑体" w:cs="黑体"/>
          <w:sz w:val="32"/>
          <w:szCs w:val="32"/>
          <w:lang w:val="en"/>
        </w:rPr>
        <w:t>绩效自评结果拟应用和公开情况</w:t>
      </w:r>
    </w:p>
    <w:p w14:paraId="15D858CE">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1、建立绩效自评及项目建设评估，重大项目及时向社会公开公布，将其作为保护管理取得的成效，全社会共享。</w:t>
      </w:r>
    </w:p>
    <w:p w14:paraId="55BB842A">
      <w:pPr>
        <w:numPr>
          <w:ilvl w:val="0"/>
          <w:numId w:val="0"/>
        </w:numPr>
        <w:ind w:firstLine="640" w:firstLineChars="200"/>
        <w:rPr>
          <w:rFonts w:hint="eastAsia" w:ascii="黑体" w:hAnsi="黑体" w:eastAsia="黑体" w:cs="黑体"/>
          <w:sz w:val="32"/>
          <w:szCs w:val="32"/>
          <w:lang w:val="en"/>
        </w:rPr>
      </w:pPr>
      <w:r>
        <w:rPr>
          <w:rFonts w:hint="eastAsia" w:ascii="仿宋_GB2312" w:hAnsi="仿宋_GB2312" w:eastAsia="仿宋_GB2312" w:cs="仿宋_GB2312"/>
          <w:color w:val="auto"/>
          <w:sz w:val="32"/>
          <w:szCs w:val="32"/>
          <w:highlight w:val="none"/>
          <w:lang w:val="en-US" w:eastAsia="zh-CN"/>
        </w:rPr>
        <w:t>2、我中心将切实加强自评结果的整理、分析，进一步细化完善预算绩效评价指标，制定科学合理的评价方案，加强对相关资金的使用管理，确保资金安全高效运行。今后努力做到：一加强对项目的精准谋划、二加强与上级部门的沟通，及时跟进项目；三对每个项目科学进行评估，促进保护区管理水平提高。</w:t>
      </w:r>
    </w:p>
    <w:p w14:paraId="6AACABAF">
      <w:pPr>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xml:space="preserve">   </w:t>
      </w:r>
      <w:r>
        <w:rPr>
          <w:rFonts w:hint="eastAsia" w:ascii="黑体" w:hAnsi="黑体" w:eastAsia="黑体" w:cs="黑体"/>
          <w:sz w:val="32"/>
          <w:szCs w:val="32"/>
          <w:lang w:val="en"/>
        </w:rPr>
        <w:t xml:space="preserve"> 七、其他需要说明的问题</w:t>
      </w:r>
    </w:p>
    <w:p w14:paraId="7EE3C26A">
      <w:pPr>
        <w:tabs>
          <w:tab w:val="left" w:pos="720"/>
          <w:tab w:val="left" w:pos="3600"/>
        </w:tabs>
        <w:spacing w:line="640" w:lineRule="exact"/>
        <w:ind w:firstLine="640" w:firstLineChars="200"/>
        <w:jc w:val="left"/>
        <w:rPr>
          <w:rFonts w:ascii="仿宋_GB2312" w:hAnsi="仿宋" w:eastAsia="仿宋_GB2312" w:cs="仿宋"/>
          <w:color w:val="auto"/>
          <w:sz w:val="32"/>
          <w:szCs w:val="32"/>
          <w:highlight w:val="none"/>
        </w:rPr>
      </w:pPr>
      <w:r>
        <w:rPr>
          <w:rFonts w:hint="eastAsia" w:ascii="仿宋_GB2312" w:hAnsi="Arial" w:eastAsia="仿宋_GB2312" w:cs="Arial"/>
          <w:color w:val="auto"/>
          <w:kern w:val="0"/>
          <w:sz w:val="32"/>
          <w:szCs w:val="32"/>
          <w:highlight w:val="none"/>
        </w:rPr>
        <w:t>1</w:t>
      </w:r>
      <w:r>
        <w:rPr>
          <w:rFonts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rPr>
        <w:t>项目绩效评价工作是项系统性工作，目前大多由财务部门牵头开展，组织力、协调力偏弱，人员配备不足，</w:t>
      </w:r>
      <w:r>
        <w:rPr>
          <w:rFonts w:hint="eastAsia" w:ascii="仿宋_GB2312" w:hAnsi="仿宋" w:eastAsia="仿宋_GB2312" w:cs="仿宋"/>
          <w:color w:val="auto"/>
          <w:sz w:val="32"/>
          <w:szCs w:val="32"/>
          <w:highlight w:val="none"/>
        </w:rPr>
        <w:t>建议将省上组织开展项目绩效评价方面的培训，增加相关人员的素养。</w:t>
      </w:r>
    </w:p>
    <w:p w14:paraId="1DC1B309">
      <w:pPr>
        <w:widowControl/>
        <w:spacing w:line="640" w:lineRule="exact"/>
        <w:ind w:firstLine="579" w:firstLineChars="181"/>
        <w:jc w:val="left"/>
        <w:rPr>
          <w:rFonts w:ascii="仿宋_GB2312" w:hAnsi="Arial" w:eastAsia="仿宋_GB2312" w:cs="Arial"/>
          <w:color w:val="auto"/>
          <w:kern w:val="0"/>
          <w:sz w:val="32"/>
          <w:szCs w:val="32"/>
          <w:highlight w:val="none"/>
        </w:rPr>
      </w:pPr>
      <w:r>
        <w:rPr>
          <w:rFonts w:hint="eastAsia" w:ascii="仿宋_GB2312" w:hAnsi="Arial" w:eastAsia="仿宋_GB2312" w:cs="Arial"/>
          <w:color w:val="auto"/>
          <w:kern w:val="0"/>
          <w:sz w:val="32"/>
          <w:szCs w:val="32"/>
          <w:highlight w:val="none"/>
        </w:rPr>
        <w:t>2</w:t>
      </w:r>
      <w:r>
        <w:rPr>
          <w:rFonts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lang w:eastAsia="zh-CN"/>
        </w:rPr>
        <w:t>保护区地处偏远高海拔地区，每年施工期非常短，部分资金计划下达迟，编制方案、批复有一定时间，往往错过施工期</w:t>
      </w:r>
      <w:r>
        <w:rPr>
          <w:rFonts w:hint="eastAsia" w:ascii="仿宋_GB2312" w:hAnsi="Arial" w:eastAsia="仿宋_GB2312" w:cs="Arial"/>
          <w:color w:val="auto"/>
          <w:kern w:val="0"/>
          <w:sz w:val="32"/>
          <w:szCs w:val="32"/>
          <w:highlight w:val="none"/>
        </w:rPr>
        <w:t>，当年完成难度很大，造成执行</w:t>
      </w:r>
      <w:r>
        <w:rPr>
          <w:rFonts w:hint="eastAsia" w:ascii="仿宋_GB2312" w:hAnsi="Arial" w:eastAsia="仿宋_GB2312" w:cs="Arial"/>
          <w:color w:val="auto"/>
          <w:kern w:val="0"/>
          <w:sz w:val="32"/>
          <w:szCs w:val="32"/>
          <w:highlight w:val="none"/>
          <w:lang w:eastAsia="zh-CN"/>
        </w:rPr>
        <w:t>滞后</w:t>
      </w:r>
      <w:r>
        <w:rPr>
          <w:rFonts w:hint="eastAsia" w:ascii="仿宋_GB2312" w:hAnsi="Arial" w:eastAsia="仿宋_GB2312" w:cs="Arial"/>
          <w:color w:val="auto"/>
          <w:kern w:val="0"/>
          <w:sz w:val="32"/>
          <w:szCs w:val="32"/>
          <w:highlight w:val="none"/>
        </w:rPr>
        <w:t>。</w:t>
      </w:r>
    </w:p>
    <w:p w14:paraId="64EB1E30">
      <w:pPr>
        <w:tabs>
          <w:tab w:val="left" w:pos="720"/>
          <w:tab w:val="left" w:pos="3600"/>
        </w:tabs>
        <w:spacing w:line="640" w:lineRule="exact"/>
        <w:ind w:firstLine="640" w:firstLineChars="200"/>
        <w:jc w:val="left"/>
        <w:rPr>
          <w:rFonts w:hint="eastAsia" w:ascii="仿宋_GB2312" w:hAnsi="Arial" w:eastAsia="仿宋_GB2312" w:cs="Arial"/>
          <w:color w:val="auto"/>
          <w:kern w:val="0"/>
          <w:sz w:val="32"/>
          <w:szCs w:val="32"/>
          <w:highlight w:val="none"/>
        </w:rPr>
      </w:pPr>
      <w:r>
        <w:rPr>
          <w:rFonts w:ascii="仿宋_GB2312" w:hAnsi="Arial" w:eastAsia="仿宋_GB2312" w:cs="Arial"/>
          <w:color w:val="auto"/>
          <w:kern w:val="0"/>
          <w:sz w:val="32"/>
          <w:szCs w:val="32"/>
          <w:highlight w:val="none"/>
        </w:rPr>
        <w:t>3.</w:t>
      </w:r>
      <w:r>
        <w:rPr>
          <w:rFonts w:hint="eastAsia" w:ascii="仿宋_GB2312" w:hAnsi="Arial" w:eastAsia="仿宋_GB2312" w:cs="Arial"/>
          <w:color w:val="auto"/>
          <w:kern w:val="0"/>
          <w:sz w:val="32"/>
          <w:szCs w:val="32"/>
          <w:highlight w:val="none"/>
        </w:rPr>
        <w:t>现在的项目</w:t>
      </w:r>
      <w:r>
        <w:rPr>
          <w:rFonts w:hint="eastAsia" w:ascii="仿宋_GB2312" w:hAnsi="Arial" w:eastAsia="仿宋_GB2312" w:cs="Arial"/>
          <w:color w:val="auto"/>
          <w:kern w:val="0"/>
          <w:sz w:val="32"/>
          <w:szCs w:val="32"/>
          <w:highlight w:val="none"/>
          <w:lang w:eastAsia="zh-CN"/>
        </w:rPr>
        <w:t>成本</w:t>
      </w:r>
      <w:r>
        <w:rPr>
          <w:rFonts w:hint="eastAsia" w:ascii="仿宋_GB2312" w:hAnsi="Arial" w:eastAsia="仿宋_GB2312" w:cs="Arial"/>
          <w:color w:val="auto"/>
          <w:kern w:val="0"/>
          <w:sz w:val="32"/>
          <w:szCs w:val="32"/>
          <w:highlight w:val="none"/>
        </w:rPr>
        <w:t>面临着物价、劳务费上涨等因素的影响，经费随市场动态增长政策无法落实，造成资金缺口较大，项目预期绩效目标完成难度日益增大。</w:t>
      </w:r>
    </w:p>
    <w:p w14:paraId="36319705">
      <w:pPr>
        <w:tabs>
          <w:tab w:val="left" w:pos="720"/>
          <w:tab w:val="left" w:pos="3600"/>
        </w:tabs>
        <w:spacing w:line="640" w:lineRule="exact"/>
        <w:ind w:firstLine="640" w:firstLineChars="200"/>
        <w:jc w:val="left"/>
        <w:rPr>
          <w:rFonts w:hint="eastAsia" w:ascii="仿宋_GB2312" w:hAnsi="Arial" w:eastAsia="仿宋_GB2312" w:cs="Arial"/>
          <w:color w:val="auto"/>
          <w:kern w:val="0"/>
          <w:sz w:val="32"/>
          <w:szCs w:val="32"/>
          <w:highlight w:val="none"/>
          <w:lang w:val="en-US" w:eastAsia="zh-CN"/>
        </w:rPr>
      </w:pPr>
      <w:r>
        <w:rPr>
          <w:rFonts w:hint="eastAsia" w:ascii="仿宋_GB2312" w:hAnsi="Arial" w:eastAsia="仿宋_GB2312" w:cs="Arial"/>
          <w:color w:val="auto"/>
          <w:kern w:val="0"/>
          <w:sz w:val="32"/>
          <w:szCs w:val="32"/>
          <w:highlight w:val="none"/>
          <w:lang w:eastAsia="zh-CN"/>
        </w:rPr>
        <w:t>附件：</w:t>
      </w:r>
      <w:r>
        <w:rPr>
          <w:rFonts w:hint="eastAsia" w:ascii="仿宋_GB2312" w:hAnsi="Arial" w:eastAsia="仿宋_GB2312" w:cs="Arial"/>
          <w:color w:val="auto"/>
          <w:kern w:val="0"/>
          <w:sz w:val="32"/>
          <w:szCs w:val="32"/>
          <w:highlight w:val="none"/>
          <w:lang w:val="en-US" w:eastAsia="zh-CN"/>
        </w:rPr>
        <w:t>2024年度省级预算执行情况绩效自评报表</w:t>
      </w:r>
    </w:p>
    <w:p w14:paraId="58055725">
      <w:pPr>
        <w:tabs>
          <w:tab w:val="left" w:pos="720"/>
          <w:tab w:val="left" w:pos="3600"/>
        </w:tabs>
        <w:spacing w:line="640" w:lineRule="exact"/>
        <w:ind w:firstLine="960" w:firstLineChars="300"/>
        <w:jc w:val="left"/>
        <w:rPr>
          <w:rFonts w:hint="eastAsia" w:ascii="仿宋_GB2312" w:hAnsi="Arial" w:eastAsia="仿宋_GB2312" w:cs="Arial"/>
          <w:color w:val="auto"/>
          <w:kern w:val="0"/>
          <w:sz w:val="32"/>
          <w:szCs w:val="32"/>
          <w:highlight w:val="none"/>
          <w:lang w:val="en-US" w:eastAsia="zh-CN"/>
        </w:rPr>
      </w:pPr>
    </w:p>
    <w:p w14:paraId="5CAF66D0">
      <w:pPr>
        <w:tabs>
          <w:tab w:val="left" w:pos="720"/>
          <w:tab w:val="left" w:pos="3600"/>
        </w:tabs>
        <w:spacing w:line="640" w:lineRule="exact"/>
        <w:ind w:firstLine="2240" w:firstLineChars="700"/>
        <w:jc w:val="left"/>
        <w:rPr>
          <w:rFonts w:hint="eastAsia" w:ascii="仿宋_GB2312" w:hAnsi="Arial" w:eastAsia="仿宋_GB2312" w:cs="Arial"/>
          <w:color w:val="auto"/>
          <w:kern w:val="0"/>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甘肃尕海则岔国家级自然保护区管护中心</w:t>
      </w:r>
    </w:p>
    <w:p w14:paraId="1B2D9A1E">
      <w:pPr>
        <w:tabs>
          <w:tab w:val="left" w:pos="720"/>
          <w:tab w:val="left" w:pos="3600"/>
        </w:tabs>
        <w:spacing w:line="640" w:lineRule="exact"/>
        <w:ind w:firstLine="3840" w:firstLineChars="1200"/>
        <w:jc w:val="left"/>
        <w:rPr>
          <w:rFonts w:hint="default" w:ascii="仿宋_GB2312" w:hAnsi="Arial" w:eastAsia="仿宋_GB2312" w:cs="Arial"/>
          <w:color w:val="auto"/>
          <w:kern w:val="0"/>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2024年3月17日</w:t>
      </w:r>
    </w:p>
    <w:p w14:paraId="6A4EDC39">
      <w:pPr>
        <w:rPr>
          <w:rFonts w:hint="eastAsia" w:ascii="仿宋_GB2312" w:hAnsi="仿宋_GB2312" w:eastAsia="仿宋_GB2312" w:cs="仿宋_GB2312"/>
          <w:sz w:val="32"/>
          <w:szCs w:val="32"/>
          <w:lang w:val="en"/>
        </w:rPr>
      </w:pPr>
    </w:p>
    <w:p w14:paraId="000C45D1">
      <w:pPr>
        <w:rPr>
          <w:rFonts w:hint="eastAsia" w:ascii="仿宋_GB2312" w:hAnsi="仿宋_GB2312" w:eastAsia="仿宋_GB2312" w:cs="仿宋_GB2312"/>
          <w:sz w:val="32"/>
          <w:szCs w:val="32"/>
          <w:lang w:val="en"/>
        </w:rPr>
      </w:pPr>
    </w:p>
    <w:p w14:paraId="7749708C">
      <w:pPr>
        <w:rPr>
          <w:rFonts w:hint="eastAsia" w:ascii="仿宋_GB2312" w:hAnsi="仿宋_GB2312" w:eastAsia="仿宋_GB2312" w:cs="仿宋_GB2312"/>
          <w:sz w:val="32"/>
          <w:szCs w:val="32"/>
          <w:lang w:val="en"/>
        </w:rPr>
      </w:pPr>
    </w:p>
    <w:p w14:paraId="1E99B8AC">
      <w:pPr>
        <w:rPr>
          <w:rFonts w:hint="eastAsia" w:ascii="仿宋_GB2312" w:hAnsi="仿宋_GB2312" w:eastAsia="仿宋_GB2312" w:cs="仿宋_GB2312"/>
          <w:sz w:val="32"/>
          <w:szCs w:val="32"/>
          <w:lang w:val="en"/>
        </w:rPr>
      </w:pPr>
    </w:p>
    <w:p w14:paraId="3EAC56D2">
      <w:pPr>
        <w:rPr>
          <w:rFonts w:hint="eastAsia" w:ascii="仿宋_GB2312" w:hAnsi="仿宋_GB2312" w:eastAsia="仿宋_GB2312" w:cs="仿宋_GB2312"/>
          <w:sz w:val="32"/>
          <w:szCs w:val="32"/>
          <w:lang w:val="en"/>
        </w:rPr>
      </w:pPr>
    </w:p>
    <w:p w14:paraId="655130A8">
      <w:pPr>
        <w:rPr>
          <w:rFonts w:hint="eastAsia" w:ascii="仿宋_GB2312" w:hAnsi="仿宋_GB2312" w:eastAsia="仿宋_GB2312" w:cs="仿宋_GB2312"/>
          <w:sz w:val="32"/>
          <w:szCs w:val="32"/>
          <w:lang w:val="en"/>
        </w:rPr>
      </w:pPr>
    </w:p>
    <w:p w14:paraId="00D21E9D">
      <w:pPr>
        <w:rPr>
          <w:rFonts w:hint="eastAsia" w:ascii="仿宋_GB2312" w:hAnsi="仿宋_GB2312" w:eastAsia="仿宋_GB2312" w:cs="仿宋_GB2312"/>
          <w:sz w:val="32"/>
          <w:szCs w:val="32"/>
          <w:lang w:val="en"/>
        </w:rPr>
      </w:pPr>
    </w:p>
    <w:p w14:paraId="2339A6DB">
      <w:pPr>
        <w:rPr>
          <w:rFonts w:hint="eastAsia" w:ascii="仿宋_GB2312" w:hAnsi="仿宋_GB2312" w:eastAsia="仿宋_GB2312" w:cs="仿宋_GB2312"/>
          <w:sz w:val="32"/>
          <w:szCs w:val="32"/>
          <w:lang w:val="en"/>
        </w:rPr>
      </w:pPr>
    </w:p>
    <w:p w14:paraId="5FE9EC28">
      <w:pPr>
        <w:rPr>
          <w:rFonts w:hint="eastAsia" w:ascii="仿宋_GB2312" w:hAnsi="仿宋_GB2312" w:eastAsia="仿宋_GB2312" w:cs="仿宋_GB2312"/>
          <w:sz w:val="32"/>
          <w:szCs w:val="32"/>
          <w:lang w:val="en"/>
        </w:rPr>
      </w:pPr>
    </w:p>
    <w:p w14:paraId="0A655CA8">
      <w:pPr>
        <w:rPr>
          <w:rFonts w:hint="eastAsia" w:ascii="仿宋_GB2312" w:hAnsi="仿宋_GB2312" w:eastAsia="仿宋_GB2312" w:cs="仿宋_GB2312"/>
          <w:sz w:val="32"/>
          <w:szCs w:val="32"/>
          <w:lang w:val="en"/>
        </w:rPr>
      </w:pPr>
    </w:p>
    <w:p w14:paraId="1F870EC2">
      <w:pPr>
        <w:rPr>
          <w:rFonts w:hint="eastAsia" w:ascii="仿宋_GB2312" w:hAnsi="仿宋_GB2312" w:eastAsia="仿宋_GB2312" w:cs="仿宋_GB2312"/>
          <w:sz w:val="32"/>
          <w:szCs w:val="32"/>
          <w:lang w:val="en"/>
        </w:rPr>
      </w:pPr>
    </w:p>
    <w:p w14:paraId="681A4B5B">
      <w:pPr>
        <w:rPr>
          <w:rFonts w:hint="eastAsia" w:ascii="仿宋_GB2312" w:hAnsi="仿宋_GB2312" w:eastAsia="仿宋_GB2312" w:cs="仿宋_GB2312"/>
          <w:sz w:val="32"/>
          <w:szCs w:val="32"/>
          <w:lang w:val="en"/>
        </w:rPr>
      </w:pPr>
    </w:p>
    <w:p w14:paraId="6BF89088">
      <w:pPr>
        <w:rPr>
          <w:lang w:val="en"/>
        </w:rPr>
      </w:pPr>
    </w:p>
    <w:p w14:paraId="6DB9CAC8">
      <w:pPr>
        <w:rPr>
          <w:lang w:val="en"/>
        </w:rPr>
      </w:pPr>
    </w:p>
    <w:p w14:paraId="6B36CE77">
      <w:pPr>
        <w:rPr>
          <w:lang w:val="en"/>
        </w:rPr>
      </w:pPr>
    </w:p>
    <w:p w14:paraId="4460DD98">
      <w:pPr>
        <w:rPr>
          <w:lang w:val="en"/>
        </w:rPr>
      </w:pPr>
    </w:p>
    <w:p w14:paraId="7B10CED9">
      <w:pPr>
        <w:rPr>
          <w:lang w:val="en"/>
        </w:rPr>
      </w:pPr>
    </w:p>
    <w:p w14:paraId="64D126E9">
      <w:pPr>
        <w:rPr>
          <w:lang w:val="e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526CA"/>
    <w:multiLevelType w:val="singleLevel"/>
    <w:tmpl w:val="08E526CA"/>
    <w:lvl w:ilvl="0" w:tentative="0">
      <w:start w:val="2"/>
      <w:numFmt w:val="chineseCounting"/>
      <w:suff w:val="nothing"/>
      <w:lvlText w:val="（%1）"/>
      <w:lvlJc w:val="left"/>
      <w:rPr>
        <w:rFonts w:hint="eastAsia"/>
      </w:rPr>
    </w:lvl>
  </w:abstractNum>
  <w:abstractNum w:abstractNumId="1">
    <w:nsid w:val="1DB5B0C5"/>
    <w:multiLevelType w:val="singleLevel"/>
    <w:tmpl w:val="1DB5B0C5"/>
    <w:lvl w:ilvl="0" w:tentative="0">
      <w:start w:val="5"/>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67"/>
    <w:rsid w:val="009D0292"/>
    <w:rsid w:val="00ED5C67"/>
    <w:rsid w:val="01F35AE3"/>
    <w:rsid w:val="02186A33"/>
    <w:rsid w:val="03327FC8"/>
    <w:rsid w:val="0E2A646C"/>
    <w:rsid w:val="17652999"/>
    <w:rsid w:val="1ABE7343"/>
    <w:rsid w:val="22B97967"/>
    <w:rsid w:val="239C6FC5"/>
    <w:rsid w:val="2A7915D2"/>
    <w:rsid w:val="2CD00E3C"/>
    <w:rsid w:val="3EAB0813"/>
    <w:rsid w:val="43C401ED"/>
    <w:rsid w:val="4EA416BA"/>
    <w:rsid w:val="4F78446F"/>
    <w:rsid w:val="501E3047"/>
    <w:rsid w:val="532B7662"/>
    <w:rsid w:val="56430BF0"/>
    <w:rsid w:val="646D3B32"/>
    <w:rsid w:val="6A9C0AB3"/>
    <w:rsid w:val="6AA61B4B"/>
    <w:rsid w:val="72FD6CE3"/>
    <w:rsid w:val="7388704E"/>
    <w:rsid w:val="76C03F95"/>
    <w:rsid w:val="76D3BF82"/>
    <w:rsid w:val="77BFE4D0"/>
    <w:rsid w:val="7BEDA395"/>
    <w:rsid w:val="7D2B5649"/>
    <w:rsid w:val="7D578A46"/>
    <w:rsid w:val="7F5B2429"/>
    <w:rsid w:val="BB5E5A74"/>
    <w:rsid w:val="DF3F14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uiPriority w:val="0"/>
    <w:rPr>
      <w:rFonts w:ascii="Calibri" w:hAnsi="Calibri"/>
      <w:kern w:val="2"/>
      <w:sz w:val="18"/>
      <w:szCs w:val="18"/>
    </w:rPr>
  </w:style>
  <w:style w:type="character" w:customStyle="1" w:styleId="7">
    <w:name w:val="页眉 字符"/>
    <w:link w:val="3"/>
    <w:uiPriority w:val="0"/>
    <w:rPr>
      <w:rFonts w:ascii="Calibri" w:hAnsi="Calibri"/>
      <w:kern w:val="2"/>
      <w:sz w:val="18"/>
      <w:szCs w:val="18"/>
    </w:rPr>
  </w:style>
  <w:style w:type="character" w:customStyle="1" w:styleId="8">
    <w:name w:val="font21"/>
    <w:uiPriority w:val="0"/>
    <w:rPr>
      <w:rFonts w:hint="eastAsia" w:ascii="宋体" w:hAnsi="宋体" w:eastAsia="宋体" w:cs="宋体"/>
      <w:b/>
      <w:color w:val="000000"/>
      <w:sz w:val="44"/>
      <w:szCs w:val="44"/>
      <w:u w:val="none"/>
    </w:rPr>
  </w:style>
  <w:style w:type="character" w:customStyle="1" w:styleId="9">
    <w:name w:val="font71"/>
    <w:uiPriority w:val="0"/>
    <w:rPr>
      <w:rFonts w:ascii="仿宋_GB2312" w:eastAsia="仿宋_GB2312" w:cs="仿宋_GB2312"/>
      <w:color w:val="000000"/>
      <w:sz w:val="44"/>
      <w:szCs w:val="44"/>
      <w:u w:val="none"/>
    </w:rPr>
  </w:style>
  <w:style w:type="character" w:customStyle="1" w:styleId="10">
    <w:name w:val="font51"/>
    <w:uiPriority w:val="0"/>
    <w:rPr>
      <w:rFonts w:hint="eastAsia" w:ascii="黑体" w:hAnsi="宋体" w:eastAsia="黑体" w:cs="黑体"/>
      <w:color w:val="000000"/>
      <w:sz w:val="32"/>
      <w:szCs w:val="32"/>
      <w:u w:val="none"/>
    </w:rPr>
  </w:style>
  <w:style w:type="character" w:customStyle="1" w:styleId="11">
    <w:name w:val="font11"/>
    <w:uiPriority w:val="0"/>
    <w:rPr>
      <w:rFonts w:ascii="Arial" w:hAnsi="Arial" w:cs="Arial"/>
      <w:color w:val="000000"/>
      <w:sz w:val="32"/>
      <w:szCs w:val="32"/>
      <w:u w:val="none"/>
    </w:rPr>
  </w:style>
  <w:style w:type="character" w:customStyle="1" w:styleId="12">
    <w:name w:val="font61"/>
    <w:uiPriority w:val="0"/>
    <w:rPr>
      <w:rFonts w:hint="eastAsia" w:ascii="楷体" w:hAnsi="楷体" w:eastAsia="楷体" w:cs="楷体"/>
      <w:color w:val="000000"/>
      <w:sz w:val="32"/>
      <w:szCs w:val="32"/>
      <w:u w:val="none"/>
    </w:rPr>
  </w:style>
  <w:style w:type="character" w:customStyle="1" w:styleId="13">
    <w:name w:val="font01"/>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5573</Words>
  <Characters>6180</Characters>
  <Lines>7</Lines>
  <Paragraphs>2</Paragraphs>
  <TotalTime>348</TotalTime>
  <ScaleCrop>false</ScaleCrop>
  <LinksUpToDate>false</LinksUpToDate>
  <CharactersWithSpaces>6230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本宫不死你们都是妃</cp:lastModifiedBy>
  <dcterms:modified xsi:type="dcterms:W3CDTF">2025-09-01T08:53:08Z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eyJoZGlkIjoiNWYxN2VmMmQyNmM2YzBhZWIwZDJmNjkxZTZkNmZlYjUiLCJ1c2VySWQiOiIyOTI0MDI3MTMifQ==</vt:lpwstr>
  </property>
  <property fmtid="{D5CDD505-2E9C-101B-9397-08002B2CF9AE}" pid="4" name="ICV">
    <vt:lpwstr>D5BD3B28723241778DD1AB522C2F4A71_13</vt:lpwstr>
  </property>
</Properties>
</file>